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0"/>
        <w:pBdr/>
        <w:spacing w:line="240" w:lineRule="exact"/>
        <w:ind/>
        <w:jc w:val="right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</w:r>
      <w:r>
        <w:rPr>
          <w:rFonts w:eastAsia="TimesNewRomanPS-BoldMT"/>
          <w:sz w:val="20"/>
          <w:szCs w:val="20"/>
        </w:rPr>
      </w:r>
    </w:p>
    <w:p>
      <w:pPr>
        <w:pStyle w:val="700"/>
        <w:pBdr/>
        <w:spacing w:line="240" w:lineRule="exact"/>
        <w:ind/>
        <w:jc w:val="center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ПРОЕКТ</w:t>
      </w:r>
      <w:r>
        <w:rPr>
          <w:rFonts w:eastAsia="TimesNewRomanPS-BoldMT"/>
          <w:bCs/>
        </w:rPr>
      </w:r>
      <w:r>
        <w:rPr>
          <w:rFonts w:eastAsia="TimesNewRomanPS-BoldMT"/>
          <w:bCs/>
        </w:rPr>
      </w:r>
    </w:p>
    <w:p>
      <w:pPr>
        <w:pStyle w:val="700"/>
        <w:pBdr/>
        <w:spacing w:line="240" w:lineRule="exact"/>
        <w:ind/>
        <w:jc w:val="center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ПРОГРАММ</w:t>
      </w:r>
      <w:r>
        <w:rPr>
          <w:rFonts w:eastAsia="TimesNewRomanPS-BoldMT"/>
          <w:bCs/>
        </w:rPr>
        <w:t xml:space="preserve">Ы</w:t>
      </w:r>
      <w:r>
        <w:rPr>
          <w:rFonts w:eastAsia="TimesNewRomanPS-BoldMT"/>
          <w:bCs/>
        </w:rPr>
      </w:r>
      <w:r>
        <w:rPr>
          <w:rFonts w:eastAsia="TimesNewRomanPS-BoldMT"/>
          <w:bCs/>
        </w:rPr>
      </w:r>
    </w:p>
    <w:p>
      <w:pPr>
        <w:pStyle w:val="702"/>
        <w:pBdr/>
        <w:spacing w:after="0" w:before="0"/>
        <w:ind/>
        <w:jc w:val="center"/>
        <w:rPr>
          <w:rFonts w:ascii="Times New Roman" w:hAnsi="Times New Roman" w:cs="Times New Roman"/>
          <w:b w:val="0"/>
          <w:i w:val="0"/>
          <w:iCs w:val="0"/>
        </w:rPr>
      </w:pPr>
      <w:r>
        <w:rPr>
          <w:rFonts w:ascii="Times New Roman" w:hAnsi="Times New Roman" w:eastAsia="TimesNewRomanPS-BoldMT" w:cs="Times New Roman"/>
          <w:b w:val="0"/>
          <w:i w:val="0"/>
          <w:iCs w:val="0"/>
        </w:rPr>
        <w:t xml:space="preserve">профилактики </w:t>
      </w:r>
      <w:r>
        <w:rPr>
          <w:rFonts w:ascii="Times New Roman" w:hAnsi="Times New Roman" w:cs="Times New Roman"/>
          <w:b w:val="0"/>
          <w:i w:val="0"/>
          <w:iCs w:val="0"/>
        </w:rPr>
        <w:t xml:space="preserve">рисков </w:t>
      </w:r>
      <w:r>
        <w:rPr>
          <w:rFonts w:ascii="Times New Roman" w:hAnsi="Times New Roman" w:cs="Times New Roman"/>
          <w:b w:val="0"/>
          <w:i w:val="0"/>
          <w:iCs w:val="0"/>
        </w:rPr>
      </w:r>
    </w:p>
    <w:p>
      <w:pPr>
        <w:pStyle w:val="700"/>
        <w:pBdr/>
        <w:spacing w:line="240" w:lineRule="exact"/>
        <w:ind/>
        <w:jc w:val="center"/>
        <w:rPr>
          <w:bCs/>
        </w:rPr>
      </w:pPr>
      <w:r>
        <w:rPr>
          <w:bCs/>
        </w:rPr>
        <w:t xml:space="preserve">причинения вреда (ущерба) охраняемым законом ценностям</w:t>
      </w:r>
      <w:r>
        <w:rPr>
          <w:bCs/>
        </w:rPr>
      </w:r>
      <w:r>
        <w:rPr>
          <w:bCs/>
        </w:rPr>
      </w:r>
    </w:p>
    <w:p>
      <w:pPr>
        <w:pStyle w:val="700"/>
        <w:pBdr/>
        <w:spacing w:line="240" w:lineRule="exact"/>
        <w:ind/>
        <w:jc w:val="center"/>
        <w:rPr>
          <w:rFonts w:eastAsia="TimesNewRomanPS-BoldMT"/>
          <w:bCs/>
        </w:rPr>
      </w:pPr>
      <w:r>
        <w:rPr>
          <w:rFonts w:eastAsia="TimesNewRomanPS-BoldMT"/>
          <w:bCs/>
        </w:rPr>
      </w:r>
      <w:r>
        <w:rPr>
          <w:rFonts w:eastAsia="TimesNewRomanPS-BoldMT"/>
          <w:bCs/>
        </w:rPr>
      </w:r>
    </w:p>
    <w:p>
      <w:pPr>
        <w:pStyle w:val="700"/>
        <w:pBdr/>
        <w:spacing/>
        <w:ind/>
        <w:jc w:val="center"/>
        <w:rPr>
          <w:rFonts w:eastAsia="TimesNewRomanPSMT"/>
        </w:rPr>
      </w:pPr>
      <w:r>
        <w:rPr>
          <w:rFonts w:eastAsia="TimesNewRomanPS-BoldMT"/>
        </w:rPr>
        <w:t xml:space="preserve">1</w:t>
      </w:r>
      <w:r>
        <w:rPr>
          <w:rFonts w:eastAsia="TimesNewRomanPS-BoldMT"/>
        </w:rPr>
        <w:t xml:space="preserve">. </w:t>
      </w:r>
      <w:r>
        <w:rPr>
          <w:rFonts w:eastAsia="TimesNewRomanPSMT"/>
        </w:rPr>
        <w:t xml:space="preserve">Общие положения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center"/>
        <w:rPr>
          <w:rFonts w:eastAsia="TimesNewRomanPSMT"/>
        </w:rPr>
      </w:pP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14"/>
        <w:pBdr/>
        <w:spacing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eastAsia="TimesNewRomanPS-BoldMT" w:cs="Times New Roman"/>
          <w:b w:val="0"/>
          <w:sz w:val="28"/>
          <w:szCs w:val="28"/>
        </w:rPr>
        <w:t xml:space="preserve">1.</w:t>
      </w:r>
      <w:r>
        <w:rPr>
          <w:rFonts w:ascii="Times New Roman" w:hAnsi="Times New Roman" w:eastAsia="TimesNewRomanPS-BoldMT" w:cs="Times New Roman"/>
          <w:b w:val="0"/>
          <w:sz w:val="28"/>
          <w:szCs w:val="28"/>
        </w:rPr>
        <w:t xml:space="preserve">1.</w:t>
      </w:r>
      <w:r>
        <w:rPr>
          <w:rFonts w:ascii="Times New Roman" w:hAnsi="Times New Roman" w:eastAsia="TimesNewRomanPS-BoldMT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NewRomanPSMT" w:cs="Times New Roman"/>
          <w:b w:val="0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eastAsia="TimesNewRomanPSMT" w:cs="Times New Roman"/>
          <w:b w:val="0"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 w:eastAsia="TimesNewRomanPSMT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4"/>
        </w:rPr>
        <w:t xml:space="preserve">при осуществлении регионального государственного контроля (надзора) за состоянием Музейного Фонда Российской Федерации на 202</w:t>
      </w:r>
      <w:r>
        <w:rPr>
          <w:rFonts w:ascii="Times New Roman" w:hAnsi="Times New Roman" w:cs="Times New Roman"/>
          <w:b w:val="0"/>
          <w:bCs/>
          <w:sz w:val="28"/>
          <w:szCs w:val="24"/>
        </w:rPr>
        <w:t xml:space="preserve">5</w:t>
      </w:r>
      <w:r>
        <w:rPr>
          <w:rFonts w:ascii="Times New Roman" w:hAnsi="Times New Roman" w:cs="Times New Roman"/>
          <w:b w:val="0"/>
          <w:bCs/>
          <w:sz w:val="28"/>
          <w:szCs w:val="24"/>
        </w:rPr>
        <w:t xml:space="preserve"> год</w:t>
      </w:r>
      <w:r>
        <w:rPr>
          <w:rFonts w:ascii="Times New Roman" w:hAnsi="Times New Roman" w:eastAsia="TimesNewRomanPSMT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NewRomanPS-BoldMT" w:cs="Times New Roman"/>
          <w:b w:val="0"/>
          <w:sz w:val="28"/>
          <w:szCs w:val="28"/>
        </w:rPr>
        <w:t xml:space="preserve">(</w:t>
      </w:r>
      <w:r>
        <w:rPr>
          <w:rFonts w:ascii="Times New Roman" w:hAnsi="Times New Roman" w:eastAsia="TimesNewRomanPSMT" w:cs="Times New Roman"/>
          <w:b w:val="0"/>
          <w:sz w:val="28"/>
          <w:szCs w:val="28"/>
        </w:rPr>
        <w:t xml:space="preserve">далее </w:t>
      </w:r>
      <w:r>
        <w:rPr>
          <w:rFonts w:ascii="Times New Roman" w:hAnsi="Times New Roman" w:eastAsia="TimesNewRomanPS-BoldMT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eastAsia="TimesNewRomanPSMT" w:cs="Times New Roman"/>
          <w:b w:val="0"/>
          <w:sz w:val="28"/>
          <w:szCs w:val="28"/>
        </w:rPr>
        <w:t xml:space="preserve">Программа</w:t>
      </w:r>
      <w:r>
        <w:rPr>
          <w:rFonts w:ascii="Times New Roman" w:hAnsi="Times New Roman" w:eastAsia="TimesNewRomanPS-BoldMT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eastAsia="TimesNewRomanPSMT" w:cs="Times New Roman"/>
          <w:b w:val="0"/>
          <w:sz w:val="28"/>
          <w:szCs w:val="28"/>
        </w:rPr>
        <w:t xml:space="preserve">разработана 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ами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утвержденными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– Правила).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700"/>
        <w:pBdr/>
        <w:spacing/>
        <w:ind w:firstLine="709"/>
        <w:jc w:val="both"/>
        <w:rPr/>
      </w:pPr>
      <w:r>
        <w:t xml:space="preserve">1.</w:t>
      </w:r>
      <w:r>
        <w:t xml:space="preserve">2. </w:t>
      </w:r>
      <w:r>
        <w:rPr>
          <w:rFonts w:eastAsia="TimesNewRomanPSMT"/>
        </w:rPr>
        <w:t xml:space="preserve">Программа разработана в целях реализации положений</w:t>
      </w:r>
      <w:r>
        <w:t xml:space="preserve">:</w:t>
      </w:r>
      <w:r/>
    </w:p>
    <w:p>
      <w:pPr>
        <w:pStyle w:val="700"/>
        <w:pBdr/>
        <w:spacing/>
        <w:ind w:firstLine="709"/>
        <w:jc w:val="both"/>
        <w:rPr/>
      </w:pPr>
      <w:r>
        <w:rPr>
          <w:rFonts w:ascii="Calibri" w:hAnsi="Calibri" w:eastAsia="Calibri"/>
          <w:sz w:val="22"/>
          <w:szCs w:val="22"/>
          <w:lang w:eastAsia="en-US"/>
        </w:rPr>
        <w:fldChar w:fldCharType="begin"/>
      </w:r>
      <w:r>
        <w:rPr>
          <w:rFonts w:ascii="Calibri" w:hAnsi="Calibri" w:eastAsia="Calibri"/>
          <w:sz w:val="22"/>
          <w:szCs w:val="22"/>
          <w:lang w:eastAsia="en-US"/>
        </w:rPr>
        <w:instrText xml:space="preserve"> HYPERLINK "http://docs.cntd.ru/document/902135756" </w:instrText>
      </w:r>
      <w:r>
        <w:rPr>
          <w:rFonts w:ascii="Calibri" w:hAnsi="Calibri" w:eastAsia="Calibri"/>
          <w:sz w:val="22"/>
          <w:szCs w:val="22"/>
          <w:lang w:eastAsia="en-US"/>
        </w:rPr>
        <w:fldChar w:fldCharType="separate"/>
      </w:r>
      <w:r>
        <w:rPr>
          <w:spacing w:val="2"/>
        </w:rPr>
        <w:t xml:space="preserve">Федерального закона от </w:t>
      </w:r>
      <w:r>
        <w:rPr>
          <w:spacing w:val="2"/>
        </w:rPr>
        <w:t xml:space="preserve">31</w:t>
      </w:r>
      <w:r>
        <w:rPr>
          <w:spacing w:val="2"/>
        </w:rPr>
        <w:t xml:space="preserve"> </w:t>
      </w:r>
      <w:r>
        <w:rPr>
          <w:spacing w:val="2"/>
        </w:rPr>
        <w:t xml:space="preserve">июля</w:t>
      </w:r>
      <w:r>
        <w:rPr>
          <w:spacing w:val="2"/>
        </w:rPr>
        <w:t xml:space="preserve"> 20</w:t>
      </w:r>
      <w:r>
        <w:rPr>
          <w:spacing w:val="2"/>
        </w:rPr>
        <w:t xml:space="preserve">20</w:t>
      </w:r>
      <w:r>
        <w:rPr>
          <w:spacing w:val="2"/>
        </w:rPr>
        <w:t xml:space="preserve"> г</w:t>
      </w:r>
      <w:r>
        <w:rPr>
          <w:spacing w:val="2"/>
        </w:rPr>
        <w:t xml:space="preserve">ода</w:t>
      </w:r>
      <w:r>
        <w:rPr>
          <w:spacing w:val="2"/>
        </w:rPr>
        <w:t xml:space="preserve"> № </w:t>
      </w:r>
      <w:r>
        <w:rPr>
          <w:spacing w:val="2"/>
        </w:rPr>
        <w:t xml:space="preserve">248</w:t>
      </w:r>
      <w:r>
        <w:rPr>
          <w:spacing w:val="2"/>
        </w:rPr>
        <w:t xml:space="preserve">-ФЗ «</w:t>
      </w:r>
      <w:r>
        <w:rPr>
          <w:spacing w:val="2"/>
        </w:rPr>
        <w:fldChar w:fldCharType="end"/>
      </w:r>
      <w:r>
        <w:rPr>
          <w:spacing w:val="2"/>
        </w:rPr>
        <w:t xml:space="preserve">О государственном контроле (надзоре) и муниципальном контроле в Российской Федерации</w:t>
      </w:r>
      <w:r>
        <w:rPr>
          <w:spacing w:val="2"/>
        </w:rPr>
        <w:t xml:space="preserve">»</w:t>
      </w:r>
      <w:r>
        <w:t xml:space="preserve">;</w:t>
      </w:r>
      <w:r>
        <w:t xml:space="preserve"> </w:t>
      </w:r>
      <w:r/>
    </w:p>
    <w:p>
      <w:pPr>
        <w:pBdr/>
        <w:spacing w:after="1" w:line="280" w:lineRule="atLeast"/>
        <w:ind w:firstLine="708"/>
        <w:jc w:val="both"/>
        <w:rPr>
          <w:color w:val="000000" w:themeColor="text1"/>
        </w:rPr>
      </w:pPr>
      <w:r>
        <w:rPr>
          <w:rFonts w:eastAsia="TimesNewRomanPSMT"/>
        </w:rPr>
        <w:t xml:space="preserve">Постановления Правительства Липецкой области от 19.09.2024 №546 «</w:t>
      </w:r>
      <w:r>
        <w:rPr>
          <w:color w:val="000000" w:themeColor="text1"/>
        </w:rPr>
        <w:t xml:space="preserve">Об утверждении Положения </w:t>
      </w: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  <w:t xml:space="preserve">о региональном государственном </w:t>
      </w: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  <w:t xml:space="preserve">контроле (надзоре) </w:t>
      </w:r>
      <w:r>
        <w:rPr>
          <w:color w:val="000000" w:themeColor="text1"/>
        </w:rPr>
        <w:t xml:space="preserve">за состоянием  </w:t>
      </w: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  <w:t xml:space="preserve">Музейного фонда Российской Федерации и 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признании утратившим силу постановления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>
        <w:rPr>
          <w:color w:val="000000" w:themeColor="text1"/>
          <w:sz w:val="28"/>
          <w:szCs w:val="28"/>
          <w:highlight w:val="none"/>
        </w:rPr>
        <w:t xml:space="preserve">администрации Липецкой области от </w:t>
      </w:r>
      <w:r>
        <w:rPr>
          <w:rFonts w:eastAsia="TimesNewRomanPSMT"/>
          <w:sz w:val="28"/>
          <w:szCs w:val="28"/>
        </w:rPr>
        <w:t xml:space="preserve">24 сентября 2021 года </w:t>
      </w:r>
      <w:r>
        <w:rPr>
          <w:rFonts w:eastAsia="TimesNewRomanPSMT"/>
          <w:sz w:val="28"/>
          <w:szCs w:val="28"/>
        </w:rPr>
      </w:r>
      <w:r>
        <w:rPr>
          <w:rFonts w:eastAsia="TimesNewRomanPSMT"/>
          <w:sz w:val="28"/>
          <w:szCs w:val="28"/>
        </w:rPr>
      </w:r>
      <w:r>
        <w:rPr>
          <w:color w:val="000000" w:themeColor="text1"/>
        </w:rPr>
      </w:r>
      <w:r>
        <w:rPr>
          <w:rFonts w:eastAsia="TimesNewRomanPSMT"/>
          <w:sz w:val="28"/>
          <w:szCs w:val="28"/>
        </w:rPr>
        <w:t xml:space="preserve">№ 391 «Об утверждении Положения о региональном </w:t>
      </w:r>
      <w:r>
        <w:rPr>
          <w:rFonts w:eastAsia="TimesNewRomanPSMT"/>
          <w:sz w:val="28"/>
          <w:szCs w:val="28"/>
        </w:rPr>
      </w:r>
      <w:r>
        <w:rPr>
          <w:rFonts w:eastAsia="TimesNewRomanPSMT"/>
          <w:sz w:val="28"/>
          <w:szCs w:val="28"/>
        </w:rPr>
      </w:r>
      <w:r>
        <w:rPr>
          <w:color w:val="000000" w:themeColor="text1"/>
        </w:rPr>
      </w:r>
      <w:r>
        <w:rPr>
          <w:rFonts w:eastAsia="TimesNewRomanPSMT"/>
          <w:sz w:val="28"/>
          <w:szCs w:val="28"/>
        </w:rPr>
        <w:t xml:space="preserve">государственном контроле (надзоре) за состоянием </w:t>
      </w:r>
      <w:r>
        <w:rPr>
          <w:rFonts w:eastAsia="TimesNewRomanPSMT"/>
          <w:sz w:val="28"/>
          <w:szCs w:val="28"/>
        </w:rPr>
      </w:r>
      <w:r>
        <w:rPr>
          <w:rFonts w:eastAsia="TimesNewRomanPSMT"/>
          <w:sz w:val="28"/>
          <w:szCs w:val="28"/>
        </w:rPr>
      </w:r>
      <w:r>
        <w:rPr>
          <w:color w:val="000000" w:themeColor="text1"/>
        </w:rPr>
      </w:r>
      <w:r>
        <w:rPr>
          <w:rFonts w:eastAsia="TimesNewRomanPSMT"/>
          <w:sz w:val="28"/>
          <w:szCs w:val="28"/>
        </w:rPr>
        <w:t xml:space="preserve">Музейного фонда Российской Федерации»</w:t>
      </w:r>
      <w:r>
        <w:rPr>
          <w:color w:val="000000" w:themeColor="text1"/>
        </w:rPr>
      </w:r>
      <w:r>
        <w:rPr>
          <w:color w:val="000000" w:themeColor="text1"/>
        </w:rPr>
      </w:r>
      <w:r>
        <w:rPr>
          <w:rFonts w:eastAsia="TimesNewRomanPSMT"/>
        </w:rPr>
        <w:t xml:space="preserve">.</w:t>
      </w:r>
      <w:r/>
      <w:r>
        <w:rPr>
          <w:color w:val="000000" w:themeColor="text1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  <w:bCs/>
        </w:rPr>
      </w:pPr>
      <w:r>
        <w:rPr>
          <w:rFonts w:eastAsia="TimesNewRomanPSMT"/>
        </w:rPr>
        <w:t xml:space="preserve">1.</w:t>
      </w:r>
      <w:r>
        <w:rPr>
          <w:rFonts w:eastAsia="TimesNewRomanPSMT"/>
        </w:rPr>
        <w:t xml:space="preserve">3</w:t>
      </w:r>
      <w:r>
        <w:rPr>
          <w:rFonts w:eastAsia="TimesNewRomanPSMT"/>
        </w:rPr>
        <w:t xml:space="preserve">. Срок реализации Программы – 20</w:t>
      </w:r>
      <w:r>
        <w:rPr>
          <w:rFonts w:eastAsia="TimesNewRomanPSMT"/>
        </w:rPr>
        <w:t xml:space="preserve">2</w:t>
      </w:r>
      <w:r>
        <w:rPr>
          <w:rFonts w:eastAsia="TimesNewRomanPSMT"/>
        </w:rPr>
        <w:t xml:space="preserve">5</w:t>
      </w:r>
      <w:r>
        <w:rPr>
          <w:rFonts w:eastAsia="TimesNewRomanPSMT"/>
        </w:rPr>
        <w:t xml:space="preserve"> год</w:t>
      </w:r>
      <w:r>
        <w:rPr>
          <w:rFonts w:eastAsia="TimesNewRomanPSMT"/>
          <w:bCs/>
        </w:rPr>
        <w:t xml:space="preserve">.</w:t>
      </w:r>
      <w:r>
        <w:rPr>
          <w:rFonts w:eastAsia="TimesNewRomanPSMT"/>
          <w:bCs/>
        </w:rPr>
      </w:r>
      <w:r>
        <w:rPr>
          <w:rFonts w:eastAsia="TimesNewRomanPSMT"/>
          <w:bCs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  <w:bCs/>
        </w:rPr>
      </w:pPr>
      <w:r>
        <w:rPr>
          <w:rFonts w:eastAsia="TimesNewRomanPSMT"/>
          <w:bCs/>
        </w:rPr>
      </w:r>
      <w:r>
        <w:rPr>
          <w:rFonts w:eastAsia="TimesNewRomanPSMT"/>
          <w:bCs/>
        </w:rPr>
      </w:r>
    </w:p>
    <w:p>
      <w:pPr>
        <w:pStyle w:val="700"/>
        <w:pBdr/>
        <w:spacing/>
        <w:ind/>
        <w:jc w:val="center"/>
        <w:rPr/>
      </w:pPr>
      <w:r>
        <w:rPr>
          <w:rFonts w:eastAsia="TimesNewRomanPSMT"/>
          <w:bCs/>
        </w:rPr>
        <w:t xml:space="preserve">2. </w:t>
      </w:r>
      <w:r>
        <w:t xml:space="preserve">Анализ текущего состояния осуществления вида контроля, </w:t>
      </w:r>
      <w:r/>
    </w:p>
    <w:p>
      <w:pPr>
        <w:pStyle w:val="700"/>
        <w:pBdr/>
        <w:spacing/>
        <w:ind/>
        <w:jc w:val="center"/>
        <w:rPr/>
      </w:pPr>
      <w:r>
        <w:t xml:space="preserve">описание текущего развития профилактической деятельности контрольного (надзорного) органа, характеристика проблем, на решение которых </w:t>
      </w:r>
      <w:r/>
    </w:p>
    <w:p>
      <w:pPr>
        <w:pStyle w:val="700"/>
        <w:pBdr/>
        <w:spacing/>
        <w:ind/>
        <w:jc w:val="center"/>
        <w:rPr/>
      </w:pPr>
      <w:r>
        <w:t xml:space="preserve">направлена программа профилактик</w:t>
      </w:r>
      <w:r>
        <w:t xml:space="preserve">и</w:t>
      </w:r>
      <w:r/>
    </w:p>
    <w:p>
      <w:pPr>
        <w:pStyle w:val="700"/>
        <w:pBdr/>
        <w:spacing/>
        <w:ind w:firstLine="709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  <w:r>
        <w:rPr>
          <w:rFonts w:eastAsia="TimesNewRomanPSMT"/>
          <w:color w:val="000000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2.1</w:t>
      </w:r>
      <w:r>
        <w:rPr>
          <w:rFonts w:eastAsia="TimesNewRomanPSMT"/>
          <w:color w:val="000000"/>
        </w:rPr>
        <w:t xml:space="preserve">. </w:t>
      </w:r>
      <w:r>
        <w:t xml:space="preserve">Статистические показатели состояния подконтрольной сферы.</w:t>
      </w:r>
      <w:r>
        <w:rPr>
          <w:rFonts w:eastAsia="TimesNewRomanPSMT"/>
          <w:color w:val="000000"/>
        </w:rPr>
      </w:r>
      <w:r>
        <w:rPr>
          <w:rFonts w:eastAsia="TimesNewRomanPSMT"/>
          <w:color w:val="000000"/>
        </w:rPr>
      </w:r>
    </w:p>
    <w:p>
      <w:pPr>
        <w:pStyle w:val="700"/>
        <w:pBdr/>
        <w:spacing/>
        <w:ind w:firstLine="709"/>
        <w:jc w:val="both"/>
        <w:rPr/>
      </w:pPr>
      <w:r>
        <w:t xml:space="preserve">Предметом регионального государственного контроля (надзора) является соблюдение государственными музеями, находящимися в ведении Липецкой области, в собственности, оперативном управлен</w:t>
      </w:r>
      <w:r>
        <w:t xml:space="preserve">ии которых находятся музейные предметы и музейные коллекции (далее – контролируемые лица), установленных Федеральным законом от 26 мая 1996 года № 54-ФЗ «О Музейном фонде Российской Федерации и музеях в Российской Федерации» и принимаемыми в соответствии с</w:t>
      </w:r>
      <w:r>
        <w:t xml:space="preserve"> ним иными нормативными правовыми актами обязательных требований к обеспечению хранения, изучения, комплектования, учета и использования музейных предметов и музейных коллекций, включенных в состав государственной части Музейного фонда Российской Федерации</w:t>
      </w:r>
      <w:r>
        <w:t xml:space="preserve">.</w:t>
      </w:r>
      <w:r/>
    </w:p>
    <w:p>
      <w:pPr>
        <w:pStyle w:val="700"/>
        <w:pBdr/>
        <w:spacing/>
        <w:ind w:firstLine="709"/>
        <w:jc w:val="both"/>
        <w:rPr>
          <w:rFonts w:eastAsia="TimesNewRomanPSMT"/>
          <w:color w:val="000000"/>
        </w:rPr>
      </w:pPr>
      <w:r>
        <w:rPr>
          <w:color w:val="000000"/>
        </w:rPr>
        <w:t xml:space="preserve">Объектами регионального государственного контроля (надзора) (далее – объект контроля (надзора)) является деятельность, действия (бездействие) контролируемых лиц, при которых должны соблюдаться обязательные требования в сфере сост</w:t>
      </w:r>
      <w:r>
        <w:rPr>
          <w:color w:val="000000"/>
        </w:rPr>
        <w:t xml:space="preserve">ояния Музейного фонда Российской Федерации, а также объекты, используемые при хранении, изучении, комплектовании, учете и использовании музейных предметов и музейных коллекций, включенных в состав государственной части Музейного фонда Российской Федерации.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</w:r>
      <w:r>
        <w:rPr>
          <w:rFonts w:eastAsia="TimesNewRomanPSMT"/>
          <w:color w:val="000000"/>
        </w:rPr>
      </w:r>
    </w:p>
    <w:p>
      <w:pPr>
        <w:pStyle w:val="700"/>
        <w:pBdr/>
        <w:spacing/>
        <w:ind w:firstLine="709"/>
        <w:jc w:val="both"/>
        <w:rPr/>
      </w:pPr>
      <w:r>
        <w:t xml:space="preserve">В 202</w:t>
      </w:r>
      <w:r>
        <w:t xml:space="preserve">4</w:t>
      </w:r>
      <w:r>
        <w:t xml:space="preserve"> году </w:t>
      </w:r>
      <w:r>
        <w:rPr>
          <w:rFonts w:eastAsia="TimesNewRomanPSMT"/>
          <w:color w:val="000000"/>
        </w:rPr>
        <w:t xml:space="preserve">контрольным органом</w:t>
      </w:r>
      <w:r>
        <w:t xml:space="preserve"> </w:t>
      </w:r>
      <w:r>
        <w:t xml:space="preserve">–</w:t>
      </w:r>
      <w:r>
        <w:t xml:space="preserve"> </w:t>
      </w:r>
      <w:r>
        <w:t xml:space="preserve">управлением культуры и искусства Липецкой области плановые выездные проверки не проводились.</w:t>
      </w:r>
      <w:r/>
    </w:p>
    <w:p>
      <w:pPr>
        <w:pStyle w:val="700"/>
        <w:pBdr/>
        <w:spacing/>
        <w:ind w:firstLine="709"/>
        <w:jc w:val="both"/>
        <w:rPr/>
      </w:pPr>
      <w:r>
        <w:t xml:space="preserve">2.2. </w:t>
      </w:r>
      <w:r>
        <w:t xml:space="preserve">Описание ключевых наиболее значимых рисков, их распределение в зависимости от видов контрольных субъектов (объектов), территорий, видов экономической деятельности и динамика их изменений за отчетный год.</w:t>
      </w:r>
      <w:r/>
    </w:p>
    <w:p>
      <w:pPr>
        <w:pStyle w:val="700"/>
        <w:keepNext w:val="true"/>
        <w:pBdr/>
        <w:spacing/>
        <w:ind w:firstLine="709"/>
        <w:contextualSpacing w:val="true"/>
        <w:jc w:val="both"/>
        <w:rPr/>
      </w:pPr>
      <w:r>
        <w:t xml:space="preserve">Ключевым риском является вероятность </w:t>
      </w:r>
      <w:r>
        <w:t xml:space="preserve">нарушения </w:t>
      </w:r>
      <w:r>
        <w:t xml:space="preserve">обязательных требований к обеспечению хранения, изучения, комплектования, учета и использования музейных предметов и музейных коллекций, включенных в состав государственной части Музейного фонда Российской Федерации</w:t>
      </w:r>
      <w:r>
        <w:t xml:space="preserve">.</w:t>
      </w:r>
      <w:r/>
    </w:p>
    <w:p>
      <w:pPr>
        <w:pStyle w:val="700"/>
        <w:keepNext w:val="true"/>
        <w:pBdr/>
        <w:spacing/>
        <w:ind w:firstLine="709"/>
        <w:contextualSpacing w:val="true"/>
        <w:jc w:val="both"/>
        <w:rPr/>
      </w:pPr>
      <w:r>
        <w:t xml:space="preserve">2.3. </w:t>
      </w:r>
      <w:r>
        <w:t xml:space="preserve">Описание текущего уровня развития профилактических мероприятий.</w:t>
      </w:r>
      <w:r/>
    </w:p>
    <w:p>
      <w:pPr>
        <w:pStyle w:val="700"/>
        <w:keepNext w:val="true"/>
        <w:pBdr/>
        <w:spacing/>
        <w:ind w:firstLine="709"/>
        <w:contextualSpacing w:val="true"/>
        <w:jc w:val="both"/>
        <w:rPr/>
      </w:pPr>
      <w:r>
        <w:rPr>
          <w:rFonts w:eastAsia="TimesNewRomanPSMT"/>
          <w:color w:val="000000"/>
        </w:rPr>
        <w:t xml:space="preserve">В рамках профилактики нарушений </w:t>
      </w:r>
      <w:r>
        <w:t xml:space="preserve">п</w:t>
      </w:r>
      <w:r>
        <w:t xml:space="preserve">еречень актов, содержащих обязательные требования, соблюдение которых оценивается при проведении мероприятий по контролю при осуществлении </w:t>
      </w:r>
      <w:r>
        <w:rPr>
          <w:bCs/>
        </w:rPr>
        <w:t xml:space="preserve">контроля </w:t>
      </w:r>
      <w:r>
        <w:t xml:space="preserve">за соблюдением законода</w:t>
      </w:r>
      <w:r>
        <w:t xml:space="preserve">тельства Российской Федерации о Музейном фонде Российской Федерации</w:t>
      </w:r>
      <w:r>
        <w:t xml:space="preserve">,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размещен на сайте управления культуры и искусства Липецкой области.</w:t>
      </w:r>
      <w:r/>
    </w:p>
    <w:p>
      <w:pPr>
        <w:pStyle w:val="700"/>
        <w:pBdr/>
        <w:spacing/>
        <w:ind w:firstLine="709"/>
        <w:jc w:val="both"/>
        <w:rPr>
          <w:rFonts w:eastAsia="TimesNewRomanPSMT"/>
          <w:color w:val="000000"/>
        </w:rPr>
      </w:pPr>
      <w:r>
        <w:rPr>
          <w:rStyle w:val="716"/>
          <w:color w:val="000000"/>
          <w:u w:val="none"/>
        </w:rPr>
        <w:t xml:space="preserve">Там</w:t>
      </w:r>
      <w:r>
        <w:rPr>
          <w:rStyle w:val="716"/>
          <w:color w:val="000000"/>
          <w:u w:val="none"/>
        </w:rPr>
        <w:t xml:space="preserve"> же размещены тексты нормативных</w:t>
      </w:r>
      <w:r>
        <w:rPr>
          <w:rStyle w:val="716"/>
          <w:u w:val="none"/>
        </w:rPr>
        <w:t xml:space="preserve"> </w:t>
      </w:r>
      <w:r>
        <w:t xml:space="preserve">правовых актов, включенных в вышеназванный </w:t>
      </w:r>
      <w:r>
        <w:rPr>
          <w:rFonts w:eastAsia="TimesNewRomanPSMT"/>
          <w:color w:val="000000"/>
        </w:rPr>
        <w:t xml:space="preserve">перечень.</w:t>
      </w:r>
      <w:r>
        <w:rPr>
          <w:rFonts w:eastAsia="TimesNewRomanPSMT"/>
          <w:color w:val="000000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П</w:t>
      </w:r>
      <w:r>
        <w:rPr>
          <w:rFonts w:eastAsia="TimesNewRomanPSMT"/>
        </w:rPr>
        <w:t xml:space="preserve">ри внесении изменений в нормативные правовые акты, включенные в перечень актов, своевременно осуществляется их размещение в актуальной редакции</w:t>
      </w:r>
      <w:r>
        <w:rPr>
          <w:rFonts w:eastAsia="TimesNewRomanPSMT"/>
        </w:rPr>
        <w:t xml:space="preserve">.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/>
      </w:pPr>
      <w:r>
        <w:rPr>
          <w:rFonts w:eastAsia="TimesNewRomanPSMT"/>
        </w:rPr>
        <w:t xml:space="preserve">В 20</w:t>
      </w:r>
      <w:r>
        <w:rPr>
          <w:rFonts w:eastAsia="TimesNewRomanPSMT"/>
        </w:rPr>
        <w:t xml:space="preserve">24</w:t>
      </w:r>
      <w:r>
        <w:rPr>
          <w:rFonts w:eastAsia="TimesNewRomanPSMT"/>
        </w:rPr>
        <w:t xml:space="preserve"> году проведена работа по актуализации </w:t>
      </w:r>
      <w:r>
        <w:t xml:space="preserve">перечня правовых акто</w:t>
      </w:r>
      <w:r>
        <w:t xml:space="preserve">в.</w:t>
      </w:r>
      <w:r/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В течение 20</w:t>
      </w:r>
      <w:r>
        <w:rPr>
          <w:rFonts w:eastAsia="TimesNewRomanPSMT"/>
        </w:rPr>
        <w:t xml:space="preserve">24</w:t>
      </w:r>
      <w:r>
        <w:rPr>
          <w:rFonts w:eastAsia="TimesNewRomanPSMT"/>
        </w:rPr>
        <w:t xml:space="preserve"> года с целью недопущения нарушения подконтрольными субъектами обязательных требований для юридических лиц контрольным органом проведен</w:t>
      </w:r>
      <w:r>
        <w:rPr>
          <w:rFonts w:eastAsia="TimesNewRomanPSMT"/>
        </w:rPr>
        <w:t xml:space="preserve">о</w:t>
      </w:r>
      <w:r>
        <w:rPr>
          <w:rFonts w:eastAsia="TimesNewRomanPSMT"/>
        </w:rPr>
        <w:t xml:space="preserve"> публичн</w:t>
      </w:r>
      <w:r>
        <w:rPr>
          <w:rFonts w:eastAsia="TimesNewRomanPSMT"/>
        </w:rPr>
        <w:t xml:space="preserve">ое</w:t>
      </w:r>
      <w:r>
        <w:rPr>
          <w:rFonts w:eastAsia="TimesNewRomanPSMT"/>
        </w:rPr>
        <w:t xml:space="preserve"> </w:t>
      </w:r>
      <w:r>
        <w:t xml:space="preserve">обсуждени</w:t>
      </w:r>
      <w:r>
        <w:t xml:space="preserve">е</w:t>
      </w:r>
      <w:r>
        <w:t xml:space="preserve"> правоприменительной практики по итогам проверок юридических лиц по вопросам</w:t>
      </w:r>
      <w:r>
        <w:rPr>
          <w:bCs/>
        </w:rPr>
        <w:t xml:space="preserve"> соблюдения законодательства</w:t>
      </w:r>
      <w:r>
        <w:rPr>
          <w:bCs/>
        </w:rPr>
        <w:t xml:space="preserve"> </w:t>
      </w:r>
      <w:r>
        <w:rPr>
          <w:bCs/>
        </w:rPr>
        <w:t xml:space="preserve">о </w:t>
      </w:r>
      <w:r>
        <w:rPr>
          <w:bCs/>
        </w:rPr>
        <w:t xml:space="preserve">Музейном фонде Российской Федерации</w:t>
      </w:r>
      <w:r>
        <w:t xml:space="preserve">. 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  <w:color w:val="000000"/>
        </w:rPr>
      </w:pPr>
      <w:r>
        <w:rPr>
          <w:rFonts w:eastAsia="TimesNewRomanPSMT"/>
        </w:rPr>
        <w:t xml:space="preserve">Кроме того, сотрудник</w:t>
      </w:r>
      <w:r>
        <w:rPr>
          <w:rFonts w:eastAsia="TimesNewRomanPSMT"/>
        </w:rPr>
        <w:t xml:space="preserve">ами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управления </w:t>
      </w:r>
      <w:r>
        <w:rPr>
          <w:rFonts w:eastAsia="TimesNewRomanPSMT"/>
        </w:rPr>
        <w:t xml:space="preserve">осуществля</w:t>
      </w:r>
      <w:r>
        <w:rPr>
          <w:rFonts w:eastAsia="TimesNewRomanPSMT"/>
        </w:rPr>
        <w:t xml:space="preserve">ется</w:t>
      </w:r>
      <w:r>
        <w:rPr>
          <w:rFonts w:eastAsia="TimesNewRomanPSMT"/>
        </w:rPr>
        <w:t xml:space="preserve"> кон</w:t>
      </w:r>
      <w:r>
        <w:rPr>
          <w:rFonts w:eastAsia="TimesNewRomanPSMT"/>
        </w:rPr>
        <w:t xml:space="preserve">сультирование</w:t>
      </w:r>
      <w:r>
        <w:rPr>
          <w:rFonts w:eastAsia="TimesNewRomanPSMT"/>
        </w:rPr>
        <w:t xml:space="preserve"> по телефону, </w:t>
      </w:r>
      <w:r>
        <w:rPr>
          <w:rFonts w:eastAsia="TimesNewRomanPSMT"/>
        </w:rPr>
        <w:t xml:space="preserve">а также </w:t>
      </w:r>
      <w:r>
        <w:rPr>
          <w:rFonts w:eastAsia="TimesNewRomanPSMT"/>
        </w:rPr>
        <w:t xml:space="preserve">в ходе проведения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плановых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проверок.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</w:r>
      <w:r>
        <w:rPr>
          <w:rFonts w:eastAsia="TimesNewRomanPSMT"/>
          <w:color w:val="000000"/>
        </w:rPr>
      </w:r>
    </w:p>
    <w:p>
      <w:pPr>
        <w:pStyle w:val="700"/>
        <w:pBdr/>
        <w:spacing/>
        <w:ind w:firstLine="709"/>
        <w:jc w:val="both"/>
        <w:rPr/>
      </w:pPr>
      <w:r>
        <w:t xml:space="preserve">В целях реализации требований </w:t>
      </w:r>
      <w:r>
        <w:t xml:space="preserve">приказа управления культуры и туризма Липецкой области от 28.12.2018 №360 </w:t>
      </w:r>
      <w:r>
        <w:t xml:space="preserve">«Об утверждении </w:t>
      </w:r>
      <w:r>
        <w:t xml:space="preserve">перечня показателей результативности и эффективности </w:t>
      </w:r>
      <w:r>
        <w:t xml:space="preserve">контрольно-надзорной деятельности</w:t>
      </w:r>
      <w:r>
        <w:t xml:space="preserve"> управления при осуществлении регионального государственного контроля в отношении музейных предметов и музейных коллекций, включенных в состав музейного фонда РФ и находящихся в собственности Липецкой области</w:t>
      </w:r>
      <w:r>
        <w:t xml:space="preserve">» утверждены перечень показателей и методика оценки результативности и эффективности контрольной деятельности в сфере музейного дела, осуществляемой </w:t>
      </w:r>
      <w:r>
        <w:rPr>
          <w:rFonts w:eastAsia="TimesNewRomanPSMT"/>
        </w:rPr>
        <w:t xml:space="preserve">контрольным органом</w:t>
      </w:r>
      <w:r>
        <w:t xml:space="preserve">.</w:t>
      </w:r>
      <w:r/>
    </w:p>
    <w:p>
      <w:pPr>
        <w:pStyle w:val="700"/>
        <w:pBdr/>
        <w:spacing/>
        <w:ind w:firstLine="709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Вышеназванные приказы </w:t>
      </w:r>
      <w:r>
        <w:rPr>
          <w:rFonts w:eastAsia="TimesNewRomanPSMT"/>
          <w:color w:val="000000"/>
        </w:rPr>
        <w:t xml:space="preserve">размещены в открытом доступе на официальном сайте</w:t>
      </w:r>
      <w:r>
        <w:rPr>
          <w:rFonts w:eastAsia="TimesNewRomanPSMT"/>
          <w:color w:val="000000"/>
        </w:rPr>
        <w:t xml:space="preserve"> управления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в </w:t>
      </w:r>
      <w:r>
        <w:rPr>
          <w:rFonts w:eastAsia="TimesNewRomanPSMT"/>
          <w:color w:val="000000"/>
        </w:rPr>
        <w:t xml:space="preserve">Интернет</w:t>
      </w:r>
      <w:r>
        <w:rPr>
          <w:rFonts w:eastAsia="TimesNewRomanPSMT"/>
          <w:color w:val="000000"/>
        </w:rPr>
        <w:t xml:space="preserve">е</w:t>
      </w:r>
      <w:r>
        <w:rPr>
          <w:rFonts w:eastAsia="TimesNewRomanPSMT"/>
        </w:rPr>
        <w:t xml:space="preserve">.</w:t>
      </w:r>
      <w:r>
        <w:rPr>
          <w:rFonts w:eastAsia="TimesNewRomanPSMT"/>
          <w:color w:val="000000"/>
        </w:rPr>
      </w:r>
      <w:r>
        <w:rPr>
          <w:rFonts w:eastAsia="TimesNewRomanPSMT"/>
          <w:color w:val="000000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В рамках профилактики нарушений обязательных требований законодательства о музейном деле на официальном сайте контрольного органа размещен </w:t>
      </w:r>
      <w:r>
        <w:t xml:space="preserve">обзор правоприменительной практики по итогам проведенных в 20</w:t>
      </w:r>
      <w:r>
        <w:t xml:space="preserve">2</w:t>
      </w:r>
      <w:r>
        <w:t xml:space="preserve">4</w:t>
      </w:r>
      <w:r>
        <w:t xml:space="preserve"> году управлением </w:t>
      </w:r>
      <w:r>
        <w:t xml:space="preserve">культуры и искусства Липецкой области </w:t>
      </w:r>
      <w:r>
        <w:t xml:space="preserve">проверок юридических лиц по вопросам соблюдения законодательства о Музейном фонде Российской Федерации на территории </w:t>
      </w:r>
      <w:r>
        <w:t xml:space="preserve">Липецкой области</w:t>
      </w:r>
      <w:r>
        <w:rPr>
          <w:rFonts w:eastAsia="TimesNewRomanPSMT"/>
        </w:rPr>
        <w:t xml:space="preserve">. 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  <w:color w:val="000000"/>
        </w:rPr>
        <w:t xml:space="preserve">Обращений, заявлений граждан, в том числе индивидуальных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предпринимателей, юридических лиц, информации от органов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государственной власти, органов местного самоуправления, средств массовой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информации о факт</w:t>
      </w:r>
      <w:r>
        <w:rPr>
          <w:rFonts w:eastAsia="TimesNewRomanPSMT"/>
          <w:color w:val="000000"/>
        </w:rPr>
        <w:t xml:space="preserve">ах нарушений в области музейного</w:t>
      </w:r>
      <w:r>
        <w:rPr>
          <w:rFonts w:eastAsia="TimesNewRomanPSMT"/>
          <w:color w:val="000000"/>
        </w:rPr>
        <w:t xml:space="preserve"> дела в контрольный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орган не поступало.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  <w:color w:val="000000"/>
        </w:rPr>
        <w:t xml:space="preserve">Случаев проведения проверок с нарушением требований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законодательства Российской Федерации не выявлено.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  <w:color w:val="000000"/>
        </w:rPr>
        <w:t xml:space="preserve">Анализ текущего состояния подконтрольной сферы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свидетельствует о том, что работа по профилактике нарушений обязательных</w:t>
      </w:r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требований должна выстраиваться на регулярной основ</w:t>
      </w:r>
      <w:r>
        <w:rPr>
          <w:rFonts w:eastAsia="TimesNewRomanPSMT"/>
          <w:color w:val="000000"/>
        </w:rPr>
        <w:t xml:space="preserve">е.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На состояние подконтрольной сферы может оказать воздействие</w:t>
      </w:r>
      <w:r>
        <w:t xml:space="preserve">:</w:t>
      </w:r>
      <w:r>
        <w:t xml:space="preserve"> 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spacing w:val="-2"/>
        </w:rPr>
      </w:pPr>
      <w:r>
        <w:rPr>
          <w:rFonts w:eastAsia="TimesNewRomanPSMT"/>
          <w:spacing w:val="-2"/>
        </w:rPr>
        <w:t xml:space="preserve">совершенствование нормативной </w:t>
      </w:r>
      <w:r>
        <w:rPr>
          <w:rFonts w:eastAsia="TimesNewRomanPSMT"/>
          <w:spacing w:val="-2"/>
        </w:rPr>
        <w:t xml:space="preserve">правовой базы в сфере музейного </w:t>
      </w:r>
      <w:r>
        <w:rPr>
          <w:rFonts w:eastAsia="TimesNewRomanPSMT"/>
          <w:spacing w:val="-2"/>
        </w:rPr>
        <w:t xml:space="preserve">дела</w:t>
      </w:r>
      <w:r>
        <w:rPr>
          <w:spacing w:val="-2"/>
        </w:rPr>
        <w:t xml:space="preserve">;</w:t>
      </w:r>
      <w:r>
        <w:rPr>
          <w:spacing w:val="-2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улучшение информационного обеспечения по предупреждению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нарушений обязательных требований в подконтрольных субъектах.</w:t>
      </w:r>
      <w:r>
        <w:rPr>
          <w:rFonts w:eastAsia="TimesNewRomanPSMT"/>
        </w:rPr>
        <w:t xml:space="preserve"> 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Снижению количества нарушений в подконтрольной сфере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может способствовать повышение квалификации</w:t>
      </w:r>
      <w:r>
        <w:t xml:space="preserve">, </w:t>
      </w:r>
      <w:r>
        <w:rPr>
          <w:rFonts w:eastAsia="TimesNewRomanPSMT"/>
        </w:rPr>
        <w:t xml:space="preserve">степени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информированности руководителей и работников подконтрольных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субъектов, а также своевременное принятие мер по соблюдению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обязательных требований.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/>
        <w:jc w:val="center"/>
        <w:rPr/>
      </w:pPr>
      <w:r>
        <w:rPr>
          <w:rFonts w:eastAsia="TimesNewRomanPSMT"/>
        </w:rPr>
        <w:t xml:space="preserve">3. </w:t>
      </w:r>
      <w:r>
        <w:t xml:space="preserve">Цели и задачи реализации программы профилактики в рамках регионального государственного контроля (надзора) за состоянием</w:t>
      </w:r>
      <w:r>
        <w:t xml:space="preserve"> </w:t>
      </w:r>
      <w:r/>
    </w:p>
    <w:p>
      <w:pPr>
        <w:pStyle w:val="700"/>
        <w:pBdr/>
        <w:spacing/>
        <w:ind/>
        <w:jc w:val="center"/>
        <w:rPr/>
      </w:pPr>
      <w:r>
        <w:t xml:space="preserve">Музейного фонда Российской Федерации</w:t>
      </w:r>
      <w:r/>
    </w:p>
    <w:p>
      <w:pPr>
        <w:pStyle w:val="700"/>
        <w:pBdr/>
        <w:spacing/>
        <w:ind/>
        <w:jc w:val="center"/>
        <w:rPr/>
      </w:pPr>
      <w:r/>
      <w:r/>
    </w:p>
    <w:p>
      <w:pPr>
        <w:pStyle w:val="700"/>
        <w:pBdr/>
        <w:spacing/>
        <w:ind w:firstLine="708"/>
        <w:jc w:val="both"/>
        <w:rPr/>
      </w:pPr>
      <w:r>
        <w:t xml:space="preserve">3.1. Профилактика рисков причинения вреда (ущерба) охраняемым законом ценностям направлена на достижение следующих основных целей:</w:t>
      </w:r>
      <w:r/>
    </w:p>
    <w:p>
      <w:pPr>
        <w:pStyle w:val="700"/>
        <w:pBdr/>
        <w:spacing/>
        <w:ind w:firstLine="708"/>
        <w:jc w:val="both"/>
        <w:rPr/>
      </w:pPr>
      <w:r>
        <w:t xml:space="preserve">1) стимулирование добросовестного соблюдения обязательных требований всеми контролируемыми лицами;</w:t>
      </w:r>
      <w:r/>
    </w:p>
    <w:p>
      <w:pPr>
        <w:pStyle w:val="700"/>
        <w:pBdr/>
        <w:spacing/>
        <w:ind w:firstLine="708"/>
        <w:jc w:val="both"/>
        <w:rPr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/>
    </w:p>
    <w:p>
      <w:pPr>
        <w:pStyle w:val="700"/>
        <w:pBdr/>
        <w:spacing/>
        <w:ind w:firstLine="708"/>
        <w:jc w:val="both"/>
        <w:rPr/>
      </w:pPr>
      <w: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</w:t>
      </w:r>
      <w:r/>
    </w:p>
    <w:p>
      <w:pPr>
        <w:pStyle w:val="700"/>
        <w:pBdr/>
        <w:spacing/>
        <w:ind w:firstLine="708"/>
        <w:jc w:val="both"/>
        <w:rPr/>
      </w:pPr>
      <w:r>
        <w:t xml:space="preserve">2.2. Задачи реализации программы профилактики в рамках регионального государственного контроля (надзора) </w:t>
      </w:r>
      <w:r>
        <w:t xml:space="preserve">за состоянием Музейного фонда Российской Федерации</w:t>
      </w:r>
      <w:r>
        <w:t xml:space="preserve">:</w:t>
      </w:r>
      <w:r/>
    </w:p>
    <w:p>
      <w:pPr>
        <w:pStyle w:val="700"/>
        <w:pBdr/>
        <w:spacing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формирование единого понимания обязательных требований в сфере музейного дела у всех участников контрольной деятельности (контрольного органа и подконтрольных субъектов);</w:t>
      </w:r>
      <w:r>
        <w:rPr>
          <w:rFonts w:eastAsia="TimesNewRomanPSMT"/>
        </w:rPr>
      </w:r>
    </w:p>
    <w:p>
      <w:pPr>
        <w:pStyle w:val="700"/>
        <w:pBdr/>
        <w:spacing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  <w:r>
        <w:rPr>
          <w:rFonts w:eastAsia="TimesNewRomanPSMT"/>
        </w:rPr>
      </w:r>
    </w:p>
    <w:p>
      <w:pPr>
        <w:pStyle w:val="700"/>
        <w:pBdr/>
        <w:spacing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установление зависимости видов, форм и интенсивности профилактических мероприятий от особенностей подконтрольных субъектов;</w:t>
      </w:r>
      <w:r>
        <w:rPr>
          <w:rFonts w:eastAsia="TimesNewRomanPSMT"/>
        </w:rPr>
      </w:r>
    </w:p>
    <w:p>
      <w:pPr>
        <w:pStyle w:val="700"/>
        <w:pBdr/>
        <w:spacing/>
        <w:ind w:firstLine="708"/>
        <w:jc w:val="both"/>
        <w:rPr/>
      </w:pPr>
      <w: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  <w:r/>
    </w:p>
    <w:p>
      <w:pPr>
        <w:pStyle w:val="700"/>
        <w:pBdr/>
        <w:spacing/>
        <w:ind w:firstLine="708"/>
        <w:jc w:val="both"/>
        <w:rPr/>
      </w:pPr>
      <w:r>
        <w:t xml:space="preserve">снижение издержек контрольно-надзорной деятельности и административной нагрузки на подконтрольные субъекты.</w:t>
      </w:r>
      <w:r/>
    </w:p>
    <w:p>
      <w:pPr>
        <w:pStyle w:val="700"/>
        <w:pBdr/>
        <w:spacing/>
        <w:ind/>
        <w:jc w:val="both"/>
        <w:rPr>
          <w:rFonts w:eastAsia="TimesNewRomanPSMT"/>
        </w:rPr>
      </w:pP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center"/>
        <w:rPr>
          <w:rFonts w:eastAsia="Courier New"/>
          <w:color w:val="000000"/>
        </w:rPr>
      </w:pPr>
      <w:r>
        <w:t xml:space="preserve">4. </w:t>
      </w:r>
      <w:r>
        <w:t xml:space="preserve">Перечень </w:t>
      </w:r>
      <w:r>
        <w:rPr>
          <w:rFonts w:eastAsia="Courier New"/>
          <w:color w:val="000000"/>
        </w:rPr>
        <w:t xml:space="preserve">профилактических мероприятий, </w:t>
      </w: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pStyle w:val="700"/>
        <w:pBdr/>
        <w:spacing/>
        <w:ind w:firstLine="709"/>
        <w:jc w:val="center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сроки (периодичность) их проведения.</w:t>
      </w: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pStyle w:val="700"/>
        <w:pBdr/>
        <w:spacing/>
        <w:ind w:firstLine="709"/>
        <w:jc w:val="center"/>
        <w:rPr>
          <w:rFonts w:eastAsia="Courier New"/>
          <w:color w:val="000000"/>
        </w:rPr>
      </w:pPr>
      <w:r>
        <w:rPr>
          <w:rFonts w:eastAsia="Courier New"/>
          <w:color w:val="000000"/>
        </w:rPr>
      </w:r>
      <w:r>
        <w:rPr>
          <w:rFonts w:eastAsia="Courier New"/>
          <w:color w:val="000000"/>
        </w:rPr>
      </w:r>
    </w:p>
    <w:p>
      <w:pPr>
        <w:pStyle w:val="700"/>
        <w:keepNext w:val="true"/>
        <w:pBdr/>
        <w:spacing/>
        <w:ind w:firstLine="709"/>
        <w:contextualSpacing w:val="true"/>
        <w:jc w:val="both"/>
        <w:rPr/>
      </w:pPr>
      <w:r>
        <w:t xml:space="preserve">В целях предотвращения</w:t>
      </w:r>
      <w:r>
        <w:t xml:space="preserve">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  <w:r/>
    </w:p>
    <w:p>
      <w:pPr>
        <w:pStyle w:val="700"/>
        <w:keepNext w:val="true"/>
        <w:numPr>
          <w:ilvl w:val="0"/>
          <w:numId w:val="21"/>
        </w:numPr>
        <w:pBdr/>
        <w:spacing/>
        <w:ind w:firstLine="709" w:left="0"/>
        <w:contextualSpacing w:val="true"/>
        <w:jc w:val="both"/>
        <w:rPr/>
      </w:pPr>
      <w:r>
        <w:t xml:space="preserve">информирование</w:t>
      </w:r>
      <w:r>
        <w:t xml:space="preserve">.</w:t>
      </w:r>
      <w:r/>
    </w:p>
    <w:p>
      <w:pPr>
        <w:pStyle w:val="700"/>
        <w:keepNext w:val="true"/>
        <w:pBdr/>
        <w:spacing/>
        <w:ind w:firstLine="708"/>
        <w:contextualSpacing w:val="true"/>
        <w:jc w:val="both"/>
        <w:rPr>
          <w:color w:val="000000"/>
        </w:rPr>
      </w:pPr>
      <w:r>
        <w:rPr>
          <w:color w:val="000000"/>
        </w:rPr>
        <w:t xml:space="preserve">Информирование по вопросам соблюдения обязательных требований ведется посредством размещения необходимых сведений в соответствии с положениями </w:t>
      </w:r>
      <w:r>
        <w:fldChar w:fldCharType="begin"/>
      </w:r>
      <w:r>
        <w:instrText xml:space="preserve"> HYPERLINK "consultantplus://offline/ref=86A81B7F3C779471FEADF5D2E43143B5D35F6D9A2536E98A1E270A3AB7D1DC243C5D9EDB7123DB42727F6A8C1ADF482C3D7615BDA5EEE2ECz3b3M" </w:instrText>
      </w:r>
      <w:r>
        <w:fldChar w:fldCharType="separate"/>
      </w:r>
      <w:r>
        <w:rPr>
          <w:color w:val="000000"/>
        </w:rPr>
        <w:t xml:space="preserve">статьи 46</w:t>
      </w:r>
      <w:r>
        <w:rPr>
          <w:color w:val="000000"/>
        </w:rPr>
        <w:fldChar w:fldCharType="end"/>
      </w:r>
      <w:r>
        <w:rPr>
          <w:color w:val="000000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в средствах массовой информации и в иных формах.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pBdr/>
        <w:spacing/>
        <w:ind w:firstLine="708"/>
        <w:jc w:val="both"/>
        <w:rPr/>
      </w:pPr>
      <w:r>
        <w:rPr>
          <w:color w:val="000000"/>
        </w:rPr>
        <w:t xml:space="preserve">Информирование осуществляет </w:t>
      </w:r>
      <w:r>
        <w:t xml:space="preserve">отдел </w:t>
      </w:r>
      <w:r>
        <w:t xml:space="preserve">проектной деятельности и работы с муниципальными образованиями</w:t>
      </w:r>
      <w:r/>
      <w:r/>
      <w:r>
        <w:rPr>
          <w:color w:val="000000"/>
        </w:rPr>
        <w:t xml:space="preserve"> управления культуры и искусства Липецкой области.</w:t>
      </w:r>
      <w:r/>
      <w:r/>
      <w:r/>
    </w:p>
    <w:p>
      <w:pPr>
        <w:pStyle w:val="700"/>
        <w:numPr>
          <w:ilvl w:val="0"/>
          <w:numId w:val="21"/>
        </w:numPr>
        <w:pBdr/>
        <w:spacing/>
        <w:ind/>
        <w:jc w:val="both"/>
        <w:rPr/>
      </w:pPr>
      <w:r>
        <w:t xml:space="preserve">обобщен</w:t>
      </w:r>
      <w:r>
        <w:t xml:space="preserve">ие правоприменительной практики.</w:t>
      </w:r>
      <w:r/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По результатам обобщения правоприменительной практики обеспечивается подготовка доклада, содержащего результаты обобщения правоприменительной практики уполномоченного органа.</w:t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Доклад о правоприменительной практике готовится по итогам отче</w:t>
      </w:r>
      <w:r>
        <w:rPr>
          <w:color w:val="000000"/>
        </w:rPr>
        <w:t xml:space="preserve">тного года и утверждается руководителем уполномоченного органа не позднее 1 марта года, следующего за отчетным годом, после чего размещается на официальном сайте уполномоченного органа в сети «Интернет» в течение 10 календарных дней со дня его утверждения.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keepNext w:val="true"/>
        <w:numPr>
          <w:ilvl w:val="0"/>
          <w:numId w:val="21"/>
        </w:numPr>
        <w:pBdr/>
        <w:spacing/>
        <w:ind/>
        <w:contextualSpacing w:val="true"/>
        <w:rPr/>
      </w:pPr>
      <w:r>
        <w:t xml:space="preserve">объявление предостережения.</w:t>
      </w:r>
      <w:r/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При наличии у должностных лиц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</w:t>
      </w:r>
      <w:r>
        <w:rPr>
          <w:color w:val="000000"/>
        </w:rPr>
        <w:t xml:space="preserve">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с учетом требований статьи 49 Федерального закона от 31 июля 2020 го</w:t>
      </w:r>
      <w:r>
        <w:rPr>
          <w:color w:val="000000"/>
        </w:rPr>
        <w:t xml:space="preserve">да № 248-ФЗ «О государственном контроле (надзоре) и муниципальном контроле в Российской Федерации»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keepNext w:val="true"/>
        <w:pBdr/>
        <w:spacing/>
        <w:ind w:firstLine="708"/>
        <w:contextualSpacing w:val="true"/>
        <w:jc w:val="both"/>
        <w:rPr/>
      </w:pPr>
      <w:r>
        <w:rPr>
          <w:color w:val="000000"/>
        </w:rPr>
        <w:t xml:space="preserve">Контролируемое лицо в течение 20 календарных дней после получения предостережения о недопустимости нарушения обязательных требований вправе подать в уполномоченный орган возражение в отношении указанного предостережения</w:t>
      </w:r>
      <w:r/>
    </w:p>
    <w:p>
      <w:pPr>
        <w:pStyle w:val="700"/>
        <w:pBdr/>
        <w:spacing/>
        <w:ind w:firstLine="708"/>
        <w:jc w:val="both"/>
        <w:rPr/>
      </w:pPr>
      <w:r>
        <w:rPr>
          <w:color w:val="000000"/>
        </w:rPr>
        <w:t xml:space="preserve">Предостережение объявляется </w:t>
      </w:r>
      <w:r>
        <w:rPr>
          <w:color w:val="000000"/>
        </w:rPr>
      </w:r>
      <w:r>
        <w:t xml:space="preserve">отдел </w:t>
      </w:r>
      <w:r>
        <w:t xml:space="preserve">проектной деятельности и работы с муниципальными образованиями</w:t>
      </w:r>
      <w:r>
        <w:rPr>
          <w:color w:val="000000"/>
        </w:rPr>
        <w:t xml:space="preserve"> управления культуры и искусства Липецкой области.</w:t>
      </w:r>
      <w:r/>
      <w:r/>
    </w:p>
    <w:p>
      <w:pPr>
        <w:pStyle w:val="700"/>
        <w:widowControl w:val="false"/>
        <w:numPr>
          <w:ilvl w:val="0"/>
          <w:numId w:val="21"/>
        </w:numPr>
        <w:pBdr/>
        <w:spacing/>
        <w:ind/>
        <w:jc w:val="both"/>
        <w:rPr>
          <w:color w:val="000000"/>
        </w:rPr>
      </w:pPr>
      <w:r>
        <w:t xml:space="preserve">консультирование</w:t>
      </w:r>
      <w: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</w:t>
      </w:r>
      <w:r>
        <w:rPr>
          <w:color w:val="000000"/>
        </w:rPr>
        <w:t xml:space="preserve">роле (надзоре) и муниципальном контроле в Российской Федерации» по вопросам, касающимся организации и осуществления регионального государственного контроля (надзора), в том числе по следующим вопросам, по которым осуществляется письменное консультирование: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порядка применения положений нормативных правовых актов Российской Федерации, содержащих обязательные требования, соблюдение которых является предметом регионального государственного контроля (надзора);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порядка проведения контрольных (надзорных) мероприятий;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периодичности проведения контрольных (надзорных) мероприятий;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порядка принятия решений по итогам контрольных (надзорных) мероприятий;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порядка обжалования решений, действия (бездействия) должностных лиц уполномоченного органа.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(надзорного) мероприятия.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Консультирование по телефону и посредством видео-конференц-связи осуществляется в соответст</w:t>
      </w:r>
      <w:r>
        <w:rPr>
          <w:color w:val="000000"/>
        </w:rPr>
        <w:t xml:space="preserve">вии с графиком, утверждаемым руководителем уполномоченного органа и размещаемым на информационном стенде в помещении уполномоченного органа, доступном для граждан месте, а также на официальном сайте уполномоченного органа в сети «Интернет». Данный график д</w:t>
      </w:r>
      <w:r>
        <w:rPr>
          <w:color w:val="000000"/>
        </w:rPr>
        <w:t xml:space="preserve">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Консультирование при личном обращении осуществляется в специально оборудованных для приема граждан помещениях уполномоченного органа с использованием средств аудио- и (или) видеозаписи.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Контролируемое лицо </w:t>
      </w:r>
      <w:r>
        <w:rPr>
          <w:color w:val="000000"/>
        </w:rPr>
        <w:t xml:space="preserve">вправе направить запрос о предоставлении письменного ответа по вопросам, по которым осуществляется письменное консультирование, в соответствии с Федеральным законом от 2 мая 2006 года № 59-ФЗ «О порядке рассмотрения обращений граждан Российской Федерации».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В случае поступления 5 и более однотипных обращений</w:t>
      </w:r>
      <w:r>
        <w:rPr>
          <w:color w:val="000000"/>
        </w:rPr>
        <w:t xml:space="preserve">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Уполномоченным органом ведется учет консультаций в соответствующем журнале, форма которого утверждается руководителем уполномоченного органа.</w:t>
      </w:r>
      <w:r>
        <w:rPr>
          <w:color w:val="000000"/>
        </w:rPr>
      </w:r>
      <w:r>
        <w:rPr>
          <w:color w:val="000000"/>
        </w:rPr>
      </w:r>
    </w:p>
    <w:p>
      <w:pPr>
        <w:pStyle w:val="700"/>
        <w:keepNext w:val="true"/>
        <w:pBdr/>
        <w:spacing/>
        <w:ind w:firstLine="709"/>
        <w:contextualSpacing w:val="true"/>
        <w:jc w:val="both"/>
        <w:rPr/>
      </w:pPr>
      <w:r>
        <w:t xml:space="preserve">Перечень уполномоченных лиц, ответственных за организацию и проведение консультирования в </w:t>
      </w:r>
      <w:r>
        <w:t xml:space="preserve">у</w:t>
      </w:r>
      <w:r>
        <w:t xml:space="preserve">правлении </w:t>
      </w:r>
      <w:r>
        <w:t xml:space="preserve">культуры и искусства Липецкой области</w:t>
      </w:r>
      <w:r>
        <w:t xml:space="preserve">:</w:t>
      </w:r>
      <w:r/>
    </w:p>
    <w:p>
      <w:pPr>
        <w:pStyle w:val="700"/>
        <w:keepNext w:val="true"/>
        <w:pBdr/>
        <w:spacing/>
        <w:ind w:firstLine="709"/>
        <w:contextualSpacing w:val="true"/>
        <w:jc w:val="both"/>
        <w:rPr/>
      </w:pPr>
      <w:r>
        <w:t xml:space="preserve">- заместитель начальника управления </w:t>
      </w:r>
      <w:r>
        <w:t xml:space="preserve">Тонких Я.В.;</w:t>
      </w:r>
      <w:r/>
    </w:p>
    <w:p>
      <w:pPr>
        <w:pStyle w:val="700"/>
        <w:keepNext w:val="true"/>
        <w:pBdr/>
        <w:spacing/>
        <w:ind w:firstLine="709"/>
        <w:contextualSpacing w:val="true"/>
        <w:jc w:val="both"/>
        <w:rPr/>
      </w:pPr>
      <w:r>
        <w:t xml:space="preserve">- начальник начальник отдела проектной деятельности и работы с муниципальными образованиями </w:t>
      </w:r>
      <w:r/>
      <w:r>
        <w:t xml:space="preserve">Мамедов А.В.</w:t>
      </w:r>
      <w:r/>
      <w:r/>
    </w:p>
    <w:p>
      <w:pPr>
        <w:pStyle w:val="700"/>
        <w:keepNext w:val="true"/>
        <w:pBdr/>
        <w:spacing/>
        <w:ind w:firstLine="709"/>
        <w:contextualSpacing w:val="true"/>
        <w:jc w:val="both"/>
        <w:rPr/>
      </w:pPr>
      <w:r>
        <w:t xml:space="preserve">5) </w:t>
      </w:r>
      <w:r>
        <w:t xml:space="preserve">профилактический визит.</w:t>
      </w:r>
      <w:r/>
    </w:p>
    <w:p>
      <w:pPr>
        <w:pStyle w:val="700"/>
        <w:widowControl w:val="false"/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Профилактический визит проводится в соответствии с положениями статьи 52 Федерального закона от 31 июля 2020 года № 248-ФЗ «О государственном контроле (надзоре) и муниципальном контроле в Российской Федерации».</w:t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Обязательный профилактический визит проводится не реже 1 раза в год, но не чаще 1 раза в месяц, в рабочее время в период, устанавливаемый уведомлением о проведении профилактического визита, и не может превышать 1 рабочего дня.</w:t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По ходатайству должностного лица уполномоченного органа руководителем уполномоченного органа (лицом, исполняющим его обязанности) срок проведения обязательного профилактического визита может быть продлен на срок не более 2 рабочих дней.</w:t>
      </w:r>
      <w:r>
        <w:rPr>
          <w:color w:val="000000"/>
        </w:rPr>
      </w:r>
    </w:p>
    <w:p>
      <w:pPr>
        <w:pStyle w:val="700"/>
        <w:widowControl w:val="false"/>
        <w:pBdr/>
        <w:spacing/>
        <w:ind w:firstLine="709"/>
        <w:jc w:val="both"/>
        <w:rPr>
          <w:color w:val="000000"/>
          <w:sz w:val="24"/>
        </w:rPr>
      </w:pPr>
      <w:r>
        <w:rPr>
          <w:color w:val="000000"/>
        </w:rPr>
        <w:t xml:space="preserve">Обязательный профилактический визит проводится уполномоченным о</w:t>
      </w:r>
      <w:r>
        <w:rPr>
          <w:color w:val="000000"/>
        </w:rPr>
        <w:t xml:space="preserve">рганом в отношении контролируемых лиц, приступающих к осуществлению контролируемого вида деятельности, не позднее чем в течение 1 года со дня начала такой деятельности, а также в отношении объектов контроля (надзора), отнесенных к категориям высокого риска</w:t>
      </w:r>
      <w:r>
        <w:rPr>
          <w:color w:val="000000"/>
          <w:sz w:val="24"/>
        </w:rPr>
        <w:t xml:space="preserve">.</w:t>
      </w:r>
      <w:r>
        <w:rPr>
          <w:color w:val="000000"/>
          <w:sz w:val="24"/>
        </w:rPr>
      </w:r>
    </w:p>
    <w:p>
      <w:pPr>
        <w:pStyle w:val="700"/>
        <w:keepNext w:val="true"/>
        <w:pBdr/>
        <w:spacing/>
        <w:ind w:firstLine="709"/>
        <w:contextualSpacing w:val="true"/>
        <w:jc w:val="both"/>
        <w:rPr/>
      </w:pPr>
      <w:r>
        <w:rPr>
          <w:color w:val="000000"/>
        </w:rPr>
        <w:t xml:space="preserve"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</w:t>
      </w:r>
      <w:r/>
    </w:p>
    <w:p>
      <w:pPr>
        <w:pStyle w:val="700"/>
        <w:widowControl w:val="false"/>
        <w:pBdr/>
        <w:spacing/>
        <w:ind w:firstLine="708"/>
        <w:jc w:val="both"/>
        <w:rPr>
          <w:color w:val="000000"/>
        </w:rPr>
      </w:pPr>
      <w:r>
        <w:t xml:space="preserve">П</w:t>
      </w:r>
      <w:r>
        <w:t xml:space="preserve">рофилактически</w:t>
      </w:r>
      <w:r>
        <w:t xml:space="preserve">е</w:t>
      </w:r>
      <w:r>
        <w:t xml:space="preserve"> визит</w:t>
      </w:r>
      <w:r>
        <w:t xml:space="preserve">ы</w:t>
      </w:r>
      <w:r>
        <w:t xml:space="preserve"> </w:t>
      </w:r>
      <w:r>
        <w:t xml:space="preserve">организует и проводит </w:t>
      </w:r>
      <w:r>
        <w:rPr>
          <w:color w:val="000000"/>
        </w:rPr>
        <w:t xml:space="preserve">отдел </w:t>
      </w:r>
      <w:r>
        <w:t xml:space="preserve">проектной деятельности и работы с муниципальными образованиями</w:t>
      </w:r>
      <w:r/>
      <w:r>
        <w:rPr>
          <w:color w:val="000000"/>
        </w:rPr>
        <w:t xml:space="preserve"> управления культуры и искусства Липецкой области.</w:t>
      </w:r>
      <w:r>
        <w:rPr>
          <w:color w:val="000000"/>
        </w:rPr>
      </w:r>
    </w:p>
    <w:p>
      <w:pPr>
        <w:pStyle w:val="700"/>
        <w:pBdr/>
        <w:spacing/>
        <w:ind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700"/>
        <w:pBdr/>
        <w:spacing/>
        <w:ind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5</w:t>
      </w:r>
      <w:r>
        <w:rPr>
          <w:rFonts w:eastAsia="TimesNewRomanPSMT"/>
          <w:color w:val="000000"/>
        </w:rPr>
        <w:t xml:space="preserve">. </w:t>
      </w:r>
      <w:r>
        <w:rPr>
          <w:rFonts w:eastAsia="TimesNewRomanPSMT"/>
          <w:color w:val="000000"/>
        </w:rPr>
        <w:t xml:space="preserve">Показатели результативности и эффективности </w:t>
      </w:r>
      <w:r>
        <w:rPr>
          <w:rFonts w:eastAsia="TimesNewRomanPSMT"/>
          <w:color w:val="000000"/>
        </w:rPr>
      </w:r>
    </w:p>
    <w:p>
      <w:pPr>
        <w:pStyle w:val="700"/>
        <w:pBdr/>
        <w:spacing/>
        <w:ind/>
        <w:jc w:val="center"/>
        <w:rPr>
          <w:rFonts w:eastAsia="TimesNewRomanPSMT"/>
        </w:rPr>
      </w:pPr>
      <w:r>
        <w:rPr>
          <w:rFonts w:eastAsia="TimesNewRomanPSMT"/>
          <w:color w:val="000000"/>
        </w:rPr>
        <w:t xml:space="preserve">программы профилактики рисков причинения вреда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  <w:color w:val="000000"/>
          <w:sz w:val="26"/>
          <w:szCs w:val="26"/>
        </w:rPr>
      </w:pPr>
      <w:r>
        <w:rPr>
          <w:rFonts w:eastAsia="TimesNewRomanPSMT"/>
          <w:color w:val="000000"/>
          <w:sz w:val="26"/>
          <w:szCs w:val="26"/>
        </w:rPr>
      </w:r>
      <w:r>
        <w:rPr>
          <w:rFonts w:eastAsia="TimesNewRomanPSMT"/>
          <w:color w:val="000000"/>
          <w:sz w:val="26"/>
          <w:szCs w:val="26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t xml:space="preserve">5</w:t>
      </w:r>
      <w:r>
        <w:t xml:space="preserve">.1</w:t>
      </w:r>
      <w:r>
        <w:t xml:space="preserve">. </w:t>
      </w:r>
      <w:r>
        <w:rPr>
          <w:rFonts w:eastAsia="TimesNewRomanPSMT"/>
        </w:rPr>
        <w:t xml:space="preserve">Основными критериями оценки </w:t>
      </w:r>
      <w:r>
        <w:rPr>
          <w:rFonts w:eastAsia="TimesNewRomanPSMT"/>
        </w:rPr>
        <w:t xml:space="preserve">результативности и </w:t>
      </w:r>
      <w:r>
        <w:rPr>
          <w:rFonts w:eastAsia="TimesNewRomanPSMT"/>
        </w:rPr>
        <w:t xml:space="preserve">эффективности профилактических мероприятий являются: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/>
      </w:pPr>
      <w:r>
        <w:rPr>
          <w:rFonts w:eastAsia="TimesNewRomanPSMT"/>
        </w:rPr>
        <w:t xml:space="preserve">результативность деятельности органа государственного контроля</w:t>
      </w:r>
      <w:r>
        <w:rPr>
          <w:rFonts w:eastAsia="TimesNewRomanPSMT"/>
        </w:rPr>
        <w:t xml:space="preserve"> (надзора)</w:t>
      </w:r>
      <w:r>
        <w:t xml:space="preserve">;</w:t>
      </w:r>
      <w:r/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информированность подконтрольных субъектов об обязательных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требованиях, о принятых и готовящихся изменениях в системе обязательных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требований, о порядке проведения мероприятий по контролю, правах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подконтрольных субъектов в ходе мероприятий по контролю;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понятность обязательных требований подконтрольным субъектам;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  <w:spacing w:val="-4"/>
        </w:rPr>
      </w:pPr>
      <w:r>
        <w:rPr>
          <w:rFonts w:eastAsia="TimesNewRomanPSMT"/>
          <w:spacing w:val="-4"/>
        </w:rPr>
        <w:t xml:space="preserve">вовлечение подконтрольных субъектов во взаимодействие с контрольным органом, в том числе в рамках проводимых профилактических мероприятий.</w:t>
      </w:r>
      <w:r>
        <w:rPr>
          <w:rFonts w:eastAsia="TimesNewRomanPSMT"/>
          <w:spacing w:val="-4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t xml:space="preserve">5</w:t>
      </w:r>
      <w:r>
        <w:t xml:space="preserve">.2</w:t>
      </w:r>
      <w:r>
        <w:t xml:space="preserve">. </w:t>
      </w:r>
      <w:r>
        <w:rPr>
          <w:rFonts w:eastAsia="TimesNewRomanPSMT"/>
        </w:rPr>
        <w:t xml:space="preserve">Оценка эффективности и результативности профилактических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мероприятий осуществляется в ходе анализа выполнения мероприятий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Программы по следующим индикативным показателям: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количество проведенных профилактических мероприятий, ед.;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количество подконтрольных субъектов, в отношении которых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проведены профилактические мероприятия, ед.;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/>
      </w:pPr>
      <w:r>
        <w:rPr>
          <w:rFonts w:eastAsia="TimesNewRomanPSMT"/>
        </w:rPr>
        <w:t xml:space="preserve">доля подконтрольных субъектов, в отношении которых проведены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профилактические мероприятия</w:t>
      </w:r>
      <w:r>
        <w:t xml:space="preserve">, %;</w:t>
      </w:r>
      <w:r/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среднее число должностных лиц, задействованных в проведении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одного профилактического мероприятия, чел.;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наличие на официальном сайте контрольного органа актуального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перечня актов, содержащих обязательные требования, соблюдение которых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оценивается при проведении мероприятий по региональному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государственному контролю, а также текстов соответствующих нормативных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правовых актов,</w:t>
      </w:r>
      <w:r>
        <w:rPr>
          <w:rFonts w:eastAsia="TimesNewRomanPSMT"/>
        </w:rPr>
        <w:t xml:space="preserve"> включенных в</w:t>
      </w:r>
      <w:r>
        <w:rPr>
          <w:rFonts w:eastAsia="TimesNewRomanPSMT"/>
        </w:rPr>
        <w:t xml:space="preserve"> перечень</w:t>
      </w:r>
      <w:r>
        <w:rPr>
          <w:rFonts w:eastAsia="TimesNewRomanPSMT"/>
        </w:rPr>
        <w:t xml:space="preserve">, перечень, тексты актов</w:t>
      </w:r>
      <w:r>
        <w:rPr>
          <w:rFonts w:eastAsia="TimesNewRomanPSMT"/>
        </w:rPr>
        <w:t xml:space="preserve">;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  <w:spacing w:val="-4"/>
        </w:rPr>
      </w:pPr>
      <w:r>
        <w:rPr>
          <w:rFonts w:eastAsia="TimesNewRomanPSMT"/>
          <w:spacing w:val="-4"/>
        </w:rPr>
        <w:t xml:space="preserve">количество информаций (разъяснений)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ед.;</w:t>
      </w:r>
      <w:r>
        <w:rPr>
          <w:rFonts w:eastAsia="TimesNewRomanPSMT"/>
          <w:spacing w:val="-4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количество консультаций, оказанных подконтрольным субъектам по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вопросам соблюдения обязательных требований, содержащихся в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нормативных правовых актах, ед.;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количество проведенных семинаров (участие в семинарах)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с подконтрольными субъектами, ед.;</w:t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/>
      </w:pPr>
      <w:r>
        <w:rPr>
          <w:rFonts w:eastAsia="TimesNewRomanPSMT"/>
        </w:rPr>
        <w:t xml:space="preserve">количество обобщений практики осуществления регионального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государственного контроля, размещенных на официальном сайте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контрольного органа, ед.</w:t>
      </w:r>
      <w:r>
        <w:t xml:space="preserve">;</w:t>
      </w:r>
      <w:r/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своевременное размещение и наличие на официальном сайте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контрольного органа плана проведения плановых проверок юридических лиц,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индивидуальны</w:t>
      </w:r>
      <w:r>
        <w:rPr>
          <w:rFonts w:eastAsia="TimesNewRomanPSMT"/>
        </w:rPr>
        <w:t xml:space="preserve">х предпринимателей на год, план.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5</w:t>
      </w:r>
      <w:r>
        <w:rPr>
          <w:rFonts w:eastAsia="TimesNewRomanPSMT"/>
        </w:rPr>
        <w:t xml:space="preserve">.3. </w:t>
      </w:r>
      <w:r>
        <w:rPr>
          <w:rFonts w:eastAsia="TimesNewRomanPSMT"/>
        </w:rPr>
        <w:t xml:space="preserve">Результаты оценки эффективности и результативности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профилактических мероприятий отражаются в докладе об итогах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 xml:space="preserve">профилактической работы, проведенной контрольным органо</w:t>
      </w:r>
      <w:r>
        <w:rPr>
          <w:rFonts w:eastAsia="TimesNewRomanPSMT"/>
        </w:rPr>
        <w:t xml:space="preserve">в.</w:t>
      </w: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tabs>
          <w:tab w:val="left" w:leader="none" w:pos="1245"/>
        </w:tabs>
        <w:spacing/>
        <w:ind/>
        <w:rPr>
          <w:rFonts w:eastAsia="TimesNewRomanPSMT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6"/>
          <w:pgMar w:top="567" w:right="567" w:bottom="567" w:left="1418" w:header="0" w:footer="0" w:gutter="0"/>
          <w:pgNumType w:start="2"/>
          <w:cols w:num="1" w:sep="0" w:space="708" w:equalWidth="1"/>
        </w:sectPr>
      </w:pPr>
      <w:r>
        <w:rPr>
          <w:rFonts w:eastAsia="TimesNewRomanPSMT"/>
        </w:rPr>
      </w:r>
      <w:r>
        <w:rPr>
          <w:rFonts w:eastAsia="TimesNewRomanPSMT"/>
        </w:rPr>
      </w:r>
    </w:p>
    <w:p>
      <w:pPr>
        <w:pStyle w:val="700"/>
        <w:pBdr/>
        <w:spacing/>
        <w:ind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</w:t>
      </w:r>
      <w:r>
        <w:rPr>
          <w:sz w:val="20"/>
          <w:szCs w:val="20"/>
        </w:rPr>
      </w:r>
    </w:p>
    <w:p>
      <w:pPr>
        <w:pStyle w:val="700"/>
        <w:pBdr/>
        <w:spacing w:line="240" w:lineRule="exact"/>
        <w:ind/>
        <w:jc w:val="right"/>
        <w:rPr>
          <w:rFonts w:eastAsia="TimesNewRomanPS-BoldMT"/>
          <w:sz w:val="20"/>
          <w:szCs w:val="20"/>
        </w:rPr>
      </w:pPr>
      <w:r>
        <w:rPr>
          <w:sz w:val="20"/>
          <w:szCs w:val="20"/>
        </w:rPr>
        <w:t xml:space="preserve">к </w:t>
      </w:r>
      <w:r>
        <w:rPr>
          <w:rFonts w:eastAsia="TimesNewRomanPS-BoldMT"/>
          <w:sz w:val="20"/>
          <w:szCs w:val="20"/>
        </w:rPr>
        <w:t xml:space="preserve">программе</w:t>
      </w:r>
      <w:r>
        <w:rPr>
          <w:rFonts w:eastAsia="TimesNewRomanPS-BoldMT"/>
          <w:sz w:val="20"/>
          <w:szCs w:val="20"/>
        </w:rPr>
        <w:t xml:space="preserve"> </w:t>
      </w:r>
      <w:r>
        <w:rPr>
          <w:rFonts w:eastAsia="TimesNewRomanPS-BoldMT"/>
          <w:sz w:val="20"/>
          <w:szCs w:val="20"/>
        </w:rPr>
        <w:t xml:space="preserve">профилактики </w:t>
      </w:r>
      <w:r>
        <w:rPr>
          <w:sz w:val="20"/>
          <w:szCs w:val="20"/>
        </w:rPr>
        <w:t xml:space="preserve">рисков </w:t>
      </w:r>
      <w:r>
        <w:rPr>
          <w:rFonts w:eastAsia="TimesNewRomanPS-BoldMT"/>
          <w:sz w:val="20"/>
          <w:szCs w:val="20"/>
        </w:rPr>
      </w:r>
      <w:r>
        <w:rPr>
          <w:rFonts w:eastAsia="TimesNewRomanPS-BoldMT"/>
          <w:sz w:val="20"/>
          <w:szCs w:val="20"/>
        </w:rPr>
      </w:r>
    </w:p>
    <w:p>
      <w:pPr>
        <w:pStyle w:val="700"/>
        <w:pBdr/>
        <w:spacing w:line="240" w:lineRule="exact"/>
        <w:ind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причинения вреда (ущерба) охраняемым законом ценностям</w:t>
      </w:r>
      <w:r>
        <w:rPr>
          <w:sz w:val="20"/>
          <w:szCs w:val="20"/>
        </w:rPr>
      </w:r>
    </w:p>
    <w:p>
      <w:pPr>
        <w:pStyle w:val="700"/>
        <w:pBdr/>
        <w:spacing/>
        <w:ind/>
        <w:jc w:val="center"/>
        <w:rPr/>
      </w:pPr>
      <w:r/>
      <w:r/>
    </w:p>
    <w:p>
      <w:pPr>
        <w:pStyle w:val="700"/>
        <w:pBdr/>
        <w:spacing/>
        <w:ind/>
        <w:jc w:val="center"/>
        <w:rPr/>
      </w:pPr>
      <w:r>
        <w:t xml:space="preserve">ПЛАН-ГРАФИК</w:t>
      </w:r>
      <w:r/>
    </w:p>
    <w:p>
      <w:pPr>
        <w:pStyle w:val="700"/>
        <w:pBdr/>
        <w:spacing/>
        <w:ind/>
        <w:jc w:val="center"/>
        <w:rPr/>
      </w:pPr>
      <w:r>
        <w:t xml:space="preserve">профилактических мероприятий</w:t>
      </w:r>
      <w:r/>
    </w:p>
    <w:p>
      <w:pPr>
        <w:pStyle w:val="700"/>
        <w:pBdr/>
        <w:spacing/>
        <w:ind/>
        <w:jc w:val="center"/>
        <w:rPr/>
      </w:pPr>
      <w:r/>
      <w:r/>
    </w:p>
    <w:tbl>
      <w:tblPr>
        <w:tblW w:w="15137" w:type="dxa"/>
        <w:tblInd w:w="105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3"/>
        <w:gridCol w:w="2527"/>
        <w:gridCol w:w="2964"/>
        <w:gridCol w:w="2273"/>
        <w:gridCol w:w="3977"/>
        <w:gridCol w:w="2693"/>
      </w:tblGrid>
      <w:tr>
        <w:trPr>
          <w:trHeight w:val="1132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52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Формы и виды профилактических мероприятий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964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исполнители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27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Периодичность проведения, сроки выполнения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Адресаты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результаты проведения мероприятий</w:t>
            </w:r>
            <w:r>
              <w:rPr>
                <w:b/>
                <w:bCs/>
              </w:rPr>
            </w:r>
          </w:p>
        </w:tc>
      </w:tr>
      <w:tr>
        <w:trPr>
          <w:trHeight w:val="1989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1.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52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Информирование по вопросам соблюдения обязательных требований 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964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Отдел </w:t>
            </w:r>
            <w:r>
              <w:t xml:space="preserve">проектной деятельности и работы с муниципальными образованиями</w:t>
            </w:r>
            <w:r/>
            <w:r/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27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Не реже 1 раза в квартал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учреждения культуры Липецкой области, которые обеспечивают хранение, изучение, комплектование, учет и использование музейных предметов и музейных коллекций, включенных в состав гос. части Музейного фонда РФ 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Повышение информированности подконтрольных субъектов о действующих обязательных требованиях в области музейного дела</w:t>
            </w:r>
            <w:r/>
          </w:p>
        </w:tc>
      </w:tr>
      <w:tr>
        <w:trPr>
          <w:trHeight w:val="2255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2.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52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Обобщение правоприменительной практики 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96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>
              <w:t xml:space="preserve">Отдел </w:t>
            </w:r>
            <w:r>
              <w:t xml:space="preserve">проектной деятельности и работы с муниципальными образованиями</w:t>
            </w:r>
            <w:r/>
            <w:r/>
            <w:r/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27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Ежегодно</w:t>
            </w:r>
            <w:r/>
          </w:p>
          <w:p>
            <w:pPr>
              <w:pStyle w:val="700"/>
              <w:pBdr/>
              <w:spacing/>
              <w:ind/>
              <w:rPr/>
            </w:pPr>
            <w:r>
              <w:t xml:space="preserve">не позднее</w:t>
            </w:r>
            <w:r/>
          </w:p>
          <w:p>
            <w:pPr>
              <w:pStyle w:val="700"/>
              <w:pBdr/>
              <w:spacing/>
              <w:ind/>
              <w:rPr/>
            </w:pPr>
            <w:r>
              <w:t xml:space="preserve">1 марта года, следующего за отчетным</w:t>
            </w:r>
            <w:r/>
          </w:p>
          <w:p>
            <w:pPr>
              <w:pStyle w:val="700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учреждения культуры Липецкой области, которые обеспечивают хранение, изучение, комплектование, учет и использование музейных предметов и музейных коллекций, включенных в состав гос. части Музейного фонда РФ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Повышение информированности подконтрольных субъектов о действующих обязательных требованиях в области музейного дела; достижение эффективности и результативности профилактических мероприятий за отчетный (прошедший) год;</w:t>
            </w:r>
            <w:r/>
          </w:p>
          <w:p>
            <w:pPr>
              <w:pStyle w:val="700"/>
              <w:pBdr/>
              <w:spacing/>
              <w:ind/>
              <w:rPr/>
            </w:pPr>
            <w:r>
              <w:t xml:space="preserve">обеспечение единообразных подходов к применению обязательных требований, открытость и доступность информации, стимулирование добросовестности контролируемых лиц, профилактика рисков причинения вреда охраняемым законом ценностям</w:t>
            </w:r>
            <w:r/>
          </w:p>
        </w:tc>
      </w:tr>
      <w:tr>
        <w:trPr>
          <w:trHeight w:val="412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3.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52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Объявление предостережения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964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Отдел </w:t>
            </w:r>
            <w:r>
              <w:t xml:space="preserve">проектной деятельности и работы с муниципальными образованиями</w:t>
            </w:r>
            <w:r/>
            <w:r/>
          </w:p>
          <w:p>
            <w:pPr>
              <w:pStyle w:val="700"/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27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учреждения культуры Липецкой области, которые обеспечивают хранение, изучение, комплектование, учет и использование музейных предметов и музейных коллекций, включенных в состав гос. части Музейного фонда РФ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Предотвращение нарушения обязательных требований в области музейного дела</w:t>
            </w:r>
            <w:r/>
          </w:p>
        </w:tc>
      </w:tr>
      <w:tr>
        <w:trPr>
          <w:trHeight w:val="997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4.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52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Консультирование 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964" w:type="dxa"/>
            <w:vAlign w:val="top"/>
            <w:textDirection w:val="lrTb"/>
            <w:noWrap w:val="false"/>
          </w:tcPr>
          <w:p>
            <w:pPr>
              <w:pStyle w:val="700"/>
              <w:keepNext w:val="true"/>
              <w:pBdr/>
              <w:spacing/>
              <w:ind w:firstLine="0"/>
              <w:contextualSpacing w:val="true"/>
              <w:jc w:val="both"/>
              <w:rPr/>
            </w:pPr>
            <w:r>
              <w:t xml:space="preserve">заместитель начальника управления </w:t>
            </w:r>
            <w:r>
              <w:t xml:space="preserve">Тонких Я.В.;</w:t>
            </w:r>
            <w:r/>
            <w:r/>
          </w:p>
          <w:p>
            <w:pPr>
              <w:pStyle w:val="700"/>
              <w:keepNext w:val="true"/>
              <w:pBdr/>
              <w:spacing/>
              <w:ind w:firstLine="0"/>
              <w:contextualSpacing w:val="true"/>
              <w:jc w:val="both"/>
              <w:rPr/>
            </w:pPr>
            <w:r>
              <w:t xml:space="preserve">начальник начальник отдела проектной деятельности и работы с муниципальными образованиями </w:t>
            </w:r>
            <w:r>
              <w:t xml:space="preserve">Мамедов А.В.</w:t>
            </w:r>
            <w:r/>
            <w:r/>
            <w:r/>
            <w:r/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27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Не реже 1 раза в полугодие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учреждения культуры Липецкой области, которые обеспечивают хранение, изучение, комплектование, учет и использование музейных предметов и музейных коллекций, включенных в состав гос. части Музейного фонда РФ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Предотвращение нарушения требований, предусматривающих обязательное наличие действующих разрешительных документов</w:t>
            </w:r>
            <w:r/>
          </w:p>
        </w:tc>
      </w:tr>
      <w:tr>
        <w:trPr>
          <w:trHeight w:val="3005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5.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52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Профилактический визит 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964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/>
            <w:r>
              <w:t xml:space="preserve">Отдел </w:t>
            </w:r>
            <w:r>
              <w:t xml:space="preserve">проектной деятельности и работы с муниципальными образованиями</w:t>
            </w:r>
            <w:r/>
            <w:r/>
          </w:p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227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не чаще 1 раза в год </w:t>
            </w:r>
            <w:r/>
          </w:p>
          <w:p>
            <w:pPr>
              <w:pStyle w:val="700"/>
              <w:pBdr/>
              <w:spacing/>
              <w:ind/>
              <w:rPr/>
            </w:pPr>
            <w:r>
              <w:t xml:space="preserve">в отношении одного подконтрольного лица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учреждения культуры Липецкой области, которые обеспечивают хранение, изучение, комплектование, учет и использование музейных предметов и музейных коллекций, включенных в состав гос. части Музейного фонда РФ</w:t>
            </w:r>
            <w:r/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pBdr/>
              <w:spacing/>
              <w:ind/>
              <w:rPr/>
            </w:pPr>
            <w:r>
              <w:t xml:space="preserve">Предотвращение нарушения обязательных требований в области музейного дела</w:t>
            </w:r>
            <w:r/>
          </w:p>
        </w:tc>
      </w:tr>
    </w:tbl>
    <w:p>
      <w:pPr>
        <w:pBdr/>
        <w:spacing/>
        <w:ind/>
        <w:rPr/>
      </w:pPr>
      <w:r/>
    </w:p>
    <w:sectPr>
      <w:headerReference w:type="default" r:id="rId11"/>
      <w:footerReference w:type="default" r:id="rId12"/>
      <w:footnotePr/>
      <w:endnotePr/>
      <w:type w:val="nextPage"/>
      <w:pgSz w:h="11906" w:orient="landscape" w:w="16838"/>
      <w:pgMar w:top="1134" w:right="851" w:bottom="567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NewRomanPS-BoldMT">
    <w:panose1 w:val="020206030504050203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pBdr/>
      <w:spacing/>
      <w:ind/>
      <w:jc w:val="right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pBdr/>
      <w:spacing/>
      <w:ind/>
      <w:jc w:val="left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pBdr/>
      <w:tabs>
        <w:tab w:val="left" w:leader="none" w:pos="5792"/>
      </w:tabs>
      <w:spacing/>
      <w:ind/>
      <w:rPr/>
    </w:pPr>
    <w:r>
      <w:tab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pBdr/>
      <w:tabs>
        <w:tab w:val="left" w:leader="none" w:pos="2550"/>
        <w:tab w:val="clear" w:leader="none" w:pos="4252"/>
        <w:tab w:val="clear" w:leader="none" w:pos="8504"/>
      </w:tabs>
      <w:spacing/>
      <w:ind/>
      <w:jc w:val="lef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90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311"/>
        </w:tabs>
        <w:spacing/>
        <w:ind w:hanging="720" w:left="157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26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1080" w:left="16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1080" w:left="16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440" w:left="19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800" w:left="23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800" w:left="23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2160" w:left="270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35"/>
        </w:tabs>
        <w:spacing/>
        <w:ind w:hanging="375" w:left="73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upperRoman"/>
      <w:pPr>
        <w:pBdr/>
        <w:tabs>
          <w:tab w:val="num" w:leader="none" w:pos="1260"/>
        </w:tabs>
        <w:spacing/>
        <w:ind w:hanging="720" w:left="12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eastAsia="Courier New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90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900"/>
        </w:tabs>
        <w:spacing/>
        <w:ind w:hanging="360" w:left="90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Courier New" w:hAnsi="Courier New"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Courier New" w:hAnsi="Courier New"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ascii="Times New Roman" w:hAnsi="Times New Roman" w:eastAsia="Times New Roman" w:cs="Times New Roman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ascii="Times New Roman" w:hAnsi="Times New Roman" w:eastAsia="Times New Roman" w:cs="Times New Roman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109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55"/>
      </w:pPr>
      <w:rPr/>
      <w:start w:val="1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spacing/>
        <w:ind w:hanging="360" w:left="1068"/>
      </w:pPr>
      <w:rPr/>
      <w:start w:val="1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3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5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7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9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1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3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5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7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95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ascii="Times New Roman" w:hAnsi="Times New Roman" w:eastAsia="Courier New" w:cs="Times New Roman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4"/>
  </w:num>
  <w:num w:numId="11">
    <w:abstractNumId w:val="18"/>
  </w:num>
  <w:num w:numId="12">
    <w:abstractNumId w:val="16"/>
  </w:num>
  <w:num w:numId="13">
    <w:abstractNumId w:val="11"/>
  </w:num>
  <w:num w:numId="14">
    <w:abstractNumId w:val="5"/>
  </w:num>
  <w:num w:numId="15">
    <w:abstractNumId w:val="21"/>
  </w:num>
  <w:num w:numId="16">
    <w:abstractNumId w:val="13"/>
  </w:num>
  <w:num w:numId="17">
    <w:abstractNumId w:val="15"/>
  </w:num>
  <w:num w:numId="18">
    <w:abstractNumId w:val="0"/>
  </w:num>
  <w:num w:numId="19">
    <w:abstractNumId w:val="7"/>
  </w:num>
  <w:num w:numId="20">
    <w:abstractNumId w:val="6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0"/>
    <w:next w:val="70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00"/>
    <w:next w:val="70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00"/>
    <w:next w:val="70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0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70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700"/>
    <w:next w:val="70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0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00"/>
    <w:next w:val="70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00"/>
    <w:next w:val="70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00"/>
    <w:next w:val="70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00"/>
    <w:next w:val="70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00"/>
    <w:next w:val="70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00"/>
    <w:next w:val="70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00"/>
    <w:next w:val="70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00"/>
    <w:next w:val="70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00"/>
    <w:next w:val="700"/>
    <w:uiPriority w:val="99"/>
    <w:unhideWhenUsed/>
    <w:pPr>
      <w:pBdr/>
      <w:spacing w:after="0" w:afterAutospacing="0"/>
      <w:ind/>
    </w:pPr>
  </w:style>
  <w:style w:type="paragraph" w:styleId="700" w:default="1">
    <w:name w:val="Normal"/>
    <w:next w:val="700"/>
    <w:link w:val="700"/>
    <w:qFormat/>
    <w:pPr>
      <w:pBdr/>
      <w:spacing/>
      <w:ind/>
    </w:pPr>
    <w:rPr>
      <w:sz w:val="28"/>
      <w:szCs w:val="28"/>
      <w:lang w:val="ru-RU" w:eastAsia="ru-RU" w:bidi="ar-SA"/>
    </w:rPr>
  </w:style>
  <w:style w:type="paragraph" w:styleId="701">
    <w:name w:val="Заголовок 1"/>
    <w:basedOn w:val="700"/>
    <w:next w:val="700"/>
    <w:link w:val="700"/>
    <w:qFormat/>
    <w:pPr>
      <w:keepNext w:val="true"/>
      <w:pBdr/>
      <w:tabs>
        <w:tab w:val="center" w:leader="none" w:pos="4055"/>
        <w:tab w:val="left" w:leader="none" w:pos="6999"/>
      </w:tabs>
      <w:spacing/>
      <w:ind/>
      <w:jc w:val="center"/>
      <w:outlineLvl w:val="0"/>
    </w:pPr>
    <w:rPr>
      <w:b/>
      <w:szCs w:val="40"/>
    </w:rPr>
  </w:style>
  <w:style w:type="paragraph" w:styleId="702">
    <w:name w:val="Заголовок 2"/>
    <w:basedOn w:val="700"/>
    <w:next w:val="700"/>
    <w:link w:val="700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</w:rPr>
  </w:style>
  <w:style w:type="paragraph" w:styleId="703">
    <w:name w:val="Заголовок 3"/>
    <w:basedOn w:val="700"/>
    <w:next w:val="700"/>
    <w:link w:val="700"/>
    <w:qFormat/>
    <w:pPr>
      <w:keepNext w:val="true"/>
      <w:framePr w:hAnchor="margin" w:hSpace="180" w:vAnchor="page" w:wrap="around" w:y="285"/>
      <w:pBdr/>
      <w:spacing w:line="400" w:lineRule="atLeast"/>
      <w:ind/>
      <w:jc w:val="center"/>
      <w:outlineLvl w:val="2"/>
    </w:pPr>
    <w:rPr>
      <w:b/>
      <w:bCs/>
      <w:sz w:val="32"/>
    </w:rPr>
  </w:style>
  <w:style w:type="character" w:styleId="704">
    <w:name w:val="Основной шрифт абзаца"/>
    <w:next w:val="704"/>
    <w:link w:val="700"/>
    <w:semiHidden/>
    <w:pPr>
      <w:pBdr/>
      <w:spacing/>
      <w:ind/>
    </w:pPr>
  </w:style>
  <w:style w:type="table" w:styleId="705">
    <w:name w:val="Обычная таблица"/>
    <w:next w:val="705"/>
    <w:link w:val="70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6">
    <w:name w:val="Нет списка"/>
    <w:next w:val="706"/>
    <w:link w:val="700"/>
    <w:uiPriority w:val="99"/>
    <w:semiHidden/>
    <w:pPr>
      <w:pBdr/>
      <w:spacing/>
      <w:ind/>
    </w:pPr>
  </w:style>
  <w:style w:type="table" w:styleId="707">
    <w:name w:val="Сетка таблицы"/>
    <w:basedOn w:val="705"/>
    <w:next w:val="707"/>
    <w:link w:val="700"/>
    <w:uiPriority w:val="59"/>
    <w:pPr>
      <w:pBdr/>
      <w:spacing/>
      <w:ind/>
    </w:p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8">
    <w:name w:val="Верхний колонтитул"/>
    <w:basedOn w:val="700"/>
    <w:next w:val="708"/>
    <w:link w:val="709"/>
    <w:uiPriority w:val="99"/>
    <w:pPr>
      <w:pBdr/>
      <w:tabs>
        <w:tab w:val="center" w:leader="none" w:pos="4252"/>
        <w:tab w:val="right" w:leader="none" w:pos="8504"/>
      </w:tabs>
      <w:spacing w:after="240" w:line="480" w:lineRule="atLeast"/>
      <w:ind/>
      <w:jc w:val="center"/>
    </w:pPr>
    <w:rPr>
      <w:szCs w:val="20"/>
    </w:rPr>
  </w:style>
  <w:style w:type="character" w:styleId="709">
    <w:name w:val="Верхний колонтитул Знак"/>
    <w:next w:val="709"/>
    <w:link w:val="708"/>
    <w:uiPriority w:val="99"/>
    <w:pPr>
      <w:pBdr/>
      <w:spacing/>
      <w:ind/>
    </w:pPr>
    <w:rPr>
      <w:sz w:val="28"/>
    </w:rPr>
  </w:style>
  <w:style w:type="paragraph" w:styleId="710">
    <w:name w:val="Нижний колонтитул"/>
    <w:basedOn w:val="700"/>
    <w:next w:val="710"/>
    <w:link w:val="711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1">
    <w:name w:val="Нижний колонтитул Знак"/>
    <w:next w:val="711"/>
    <w:link w:val="710"/>
    <w:uiPriority w:val="99"/>
    <w:pPr>
      <w:pBdr/>
      <w:spacing/>
      <w:ind/>
    </w:pPr>
    <w:rPr>
      <w:sz w:val="28"/>
      <w:szCs w:val="28"/>
    </w:rPr>
  </w:style>
  <w:style w:type="paragraph" w:styleId="712">
    <w:name w:val="Текст выноски"/>
    <w:basedOn w:val="700"/>
    <w:next w:val="712"/>
    <w:link w:val="713"/>
    <w:uiPriority w:val="99"/>
    <w:unhideWhenUsed/>
    <w:pPr>
      <w:pBdr/>
      <w:spacing/>
      <w:ind/>
    </w:pPr>
    <w:rPr>
      <w:rFonts w:ascii="Tahoma" w:hAnsi="Tahoma" w:eastAsia="Calibri" w:cs="Tahoma"/>
      <w:sz w:val="16"/>
      <w:szCs w:val="16"/>
      <w:lang w:eastAsia="en-US"/>
    </w:rPr>
  </w:style>
  <w:style w:type="character" w:styleId="713">
    <w:name w:val="Текст выноски Знак"/>
    <w:next w:val="713"/>
    <w:link w:val="712"/>
    <w:uiPriority w:val="99"/>
    <w:pPr>
      <w:pBdr/>
      <w:spacing/>
      <w:ind/>
    </w:pPr>
    <w:rPr>
      <w:rFonts w:ascii="Tahoma" w:hAnsi="Tahoma" w:eastAsia="Calibri" w:cs="Tahoma"/>
      <w:sz w:val="16"/>
      <w:szCs w:val="16"/>
      <w:lang w:eastAsia="en-US"/>
    </w:rPr>
  </w:style>
  <w:style w:type="paragraph" w:styleId="714">
    <w:name w:val="ConsPlusTitle"/>
    <w:next w:val="714"/>
    <w:link w:val="700"/>
    <w:pPr>
      <w:widowControl w:val="false"/>
      <w:pBdr/>
      <w:spacing/>
      <w:ind/>
    </w:pPr>
    <w:rPr>
      <w:rFonts w:ascii="Calibri" w:hAnsi="Calibri" w:cs="Calibri"/>
      <w:b/>
      <w:sz w:val="22"/>
      <w:lang w:val="ru-RU" w:eastAsia="ru-RU" w:bidi="ar-SA"/>
    </w:rPr>
  </w:style>
  <w:style w:type="paragraph" w:styleId="715">
    <w:name w:val="ConsPlusNormal"/>
    <w:next w:val="715"/>
    <w:link w:val="700"/>
    <w:pPr>
      <w:widowControl w:val="false"/>
      <w:pBdr/>
      <w:spacing/>
      <w:ind/>
    </w:pPr>
    <w:rPr>
      <w:rFonts w:ascii="Calibri" w:hAnsi="Calibri" w:cs="Calibri"/>
      <w:sz w:val="22"/>
      <w:lang w:val="ru-RU" w:eastAsia="ru-RU" w:bidi="ar-SA"/>
    </w:rPr>
  </w:style>
  <w:style w:type="character" w:styleId="716">
    <w:name w:val="Гиперссылка"/>
    <w:next w:val="716"/>
    <w:link w:val="700"/>
    <w:uiPriority w:val="99"/>
    <w:pPr>
      <w:pBdr/>
      <w:spacing/>
      <w:ind/>
    </w:pPr>
    <w:rPr>
      <w:color w:val="0000ff"/>
      <w:u w:val="single"/>
    </w:rPr>
  </w:style>
  <w:style w:type="character" w:styleId="717">
    <w:name w:val="Символ сноски"/>
    <w:next w:val="717"/>
    <w:link w:val="700"/>
    <w:pPr>
      <w:pBdr/>
      <w:spacing/>
      <w:ind/>
    </w:pPr>
    <w:rPr>
      <w:vertAlign w:val="superscript"/>
    </w:rPr>
  </w:style>
  <w:style w:type="character" w:styleId="718">
    <w:name w:val="Знак сноски1"/>
    <w:next w:val="718"/>
    <w:link w:val="700"/>
    <w:pPr>
      <w:pBdr/>
      <w:spacing/>
      <w:ind/>
    </w:pPr>
    <w:rPr>
      <w:vertAlign w:val="superscript"/>
    </w:rPr>
  </w:style>
  <w:style w:type="paragraph" w:styleId="719">
    <w:name w:val="Текст сноски"/>
    <w:basedOn w:val="700"/>
    <w:next w:val="719"/>
    <w:link w:val="720"/>
    <w:pPr>
      <w:suppressLineNumbers w:val="true"/>
      <w:pBdr/>
      <w:spacing/>
      <w:ind w:hanging="283" w:left="283"/>
    </w:pPr>
    <w:rPr>
      <w:rFonts w:ascii="Courier New" w:hAnsi="Courier New" w:eastAsia="Courier New" w:cs="Courier New"/>
      <w:color w:val="000000"/>
      <w:sz w:val="20"/>
      <w:szCs w:val="20"/>
      <w:lang w:eastAsia="ar-SA"/>
    </w:rPr>
  </w:style>
  <w:style w:type="character" w:styleId="720">
    <w:name w:val="Текст сноски Знак"/>
    <w:next w:val="720"/>
    <w:link w:val="719"/>
    <w:pPr>
      <w:pBdr/>
      <w:spacing/>
      <w:ind/>
    </w:pPr>
    <w:rPr>
      <w:rFonts w:ascii="Courier New" w:hAnsi="Courier New" w:eastAsia="Courier New" w:cs="Courier New"/>
      <w:color w:val="000000"/>
      <w:lang w:eastAsia="ar-SA"/>
    </w:rPr>
  </w:style>
  <w:style w:type="paragraph" w:styleId="721">
    <w:name w:val="Текст сноски1"/>
    <w:basedOn w:val="700"/>
    <w:next w:val="721"/>
    <w:link w:val="700"/>
    <w:pPr>
      <w:pBdr/>
      <w:spacing w:line="100" w:lineRule="atLeast"/>
      <w:ind/>
    </w:pPr>
    <w:rPr>
      <w:rFonts w:ascii="Courier New" w:hAnsi="Courier New" w:eastAsia="Courier New" w:cs="Courier New"/>
      <w:color w:val="000000"/>
      <w:sz w:val="20"/>
      <w:szCs w:val="20"/>
      <w:lang w:eastAsia="ar-SA"/>
    </w:rPr>
  </w:style>
  <w:style w:type="character" w:styleId="1949" w:default="1">
    <w:name w:val="Default Paragraph Font"/>
    <w:uiPriority w:val="1"/>
    <w:semiHidden/>
    <w:unhideWhenUsed/>
    <w:pPr>
      <w:pBdr/>
      <w:spacing/>
      <w:ind/>
    </w:pPr>
  </w:style>
  <w:style w:type="numbering" w:styleId="1950" w:default="1">
    <w:name w:val="No List"/>
    <w:uiPriority w:val="99"/>
    <w:semiHidden/>
    <w:unhideWhenUsed/>
    <w:pPr>
      <w:pBdr/>
      <w:spacing/>
      <w:ind/>
    </w:pPr>
  </w:style>
  <w:style w:type="table" w:styleId="195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РК-Центр</Company>
  <DocSecurity>0</DocSecurity>
  <HyperlinksChanged>false</HyperlinksChanged>
  <ScaleCrop>false</ScaleCrop>
  <SharedDoc>false</SharedDoc>
  <Template>Бланк распоряжения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АРХИВ</dc:creator>
  <cp:revision>3</cp:revision>
  <dcterms:created xsi:type="dcterms:W3CDTF">2023-09-25T08:36:00Z</dcterms:created>
  <dcterms:modified xsi:type="dcterms:W3CDTF">2024-11-01T06:48:41Z</dcterms:modified>
  <cp:version>1048576</cp:version>
</cp:coreProperties>
</file>