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>
        <w:tblPrEx/>
        <w:trPr/>
        <w:tc>
          <w:tcPr>
            <w:shd w:val="clear" w:color="ffffff" w:fill="ffffff"/>
            <w:tcW w:w="266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 приказу министерства культуры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right"/>
            </w:pPr>
            <w:r>
              <w:rPr>
                <w:sz w:val="28"/>
                <w:szCs w:val="28"/>
                <w:highlight w:val="none"/>
              </w:rPr>
              <w:t xml:space="preserve">Липецкой области </w:t>
            </w:r>
            <w:r>
              <w:rPr>
                <w:sz w:val="28"/>
                <w:szCs w:val="28"/>
              </w:rPr>
              <w:t xml:space="preserve">«Об организации системы внутреннего обеспечения соответствия требованиям антимонопольного законодательства в </w:t>
            </w:r>
            <w:r>
              <w:rPr>
                <w:sz w:val="28"/>
                <w:szCs w:val="28"/>
              </w:rPr>
              <w:t xml:space="preserve">деятельности министерства культуры </w:t>
            </w:r>
            <w:r>
              <w:rPr>
                <w:bCs/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  <w:highlight w:val="yellow"/>
              </w:rPr>
            </w:r>
            <w:r/>
          </w:p>
          <w:p>
            <w:pPr>
              <w:jc w:val="right"/>
            </w:pPr>
            <w:r/>
            <w:r/>
          </w:p>
        </w:tc>
      </w:tr>
    </w:tbl>
    <w:p>
      <w:pPr>
        <w:rPr>
          <w:bCs/>
          <w:highlight w:val="yellow"/>
        </w:rPr>
      </w:pPr>
      <w:r>
        <w:rPr>
          <w:bCs/>
          <w:highlight w:val="yellow"/>
        </w:rPr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Положение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об организации системы внутреннего обеспечения соответствия требованиям антимонопольного законодательства</w:t>
      </w:r>
      <w:r>
        <w:rPr>
          <w:bCs/>
          <w:sz w:val="28"/>
          <w:szCs w:val="28"/>
        </w:rPr>
        <w:t xml:space="preserve"> в министерстве культуры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Cs/>
          <w:highlight w:val="yellow"/>
        </w:rPr>
      </w:pPr>
      <w:r>
        <w:rPr>
          <w:bCs/>
          <w:highlight w:val="yellow"/>
        </w:rPr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pStyle w:val="681"/>
        <w:numPr>
          <w:ilvl w:val="0"/>
          <w:numId w:val="4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Общие положения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81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1"/>
          <w:numId w:val="4"/>
        </w:numPr>
        <w:ind w:left="0" w:right="-7" w:firstLine="709"/>
        <w:jc w:val="both"/>
        <w:widowControl w:val="off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Положение об организации в министерстве культуры Липецкой области системы внутреннего обеспечения соответствия требованиям антимонопольного законодательства разработано в целях обеспечения соответствия деятельности министерства </w:t>
      </w:r>
      <w:r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"/>
        </w:numPr>
        <w:ind w:left="0" w:firstLine="709"/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Термины, используемые в настоящем Положении, означают следующее: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«антимонопольное законодательство» - законодательство, осно</w:t>
      </w:r>
      <w:r>
        <w:rPr>
          <w:sz w:val="28"/>
          <w:szCs w:val="28"/>
        </w:rPr>
        <w:t xml:space="preserve">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</w:t>
      </w:r>
      <w:r>
        <w:rPr>
          <w:sz w:val="28"/>
          <w:szCs w:val="28"/>
        </w:rPr>
        <w:t xml:space="preserve">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</w:t>
      </w:r>
      <w:r>
        <w:rPr>
          <w:sz w:val="28"/>
          <w:szCs w:val="28"/>
        </w:rPr>
        <w:t xml:space="preserve">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«антимонопольный орган» - федеральный антимонопольный орган и его территориальные органы;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«доклад об антимонопольном комплаенсе» - документ, содержащий информацию об организации в министерстве</w:t>
      </w:r>
      <w:r>
        <w:rPr>
          <w:sz w:val="28"/>
          <w:szCs w:val="28"/>
        </w:rPr>
        <w:t xml:space="preserve"> антимонопольного комплаенса и о его функционировании;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«коллегиальный орган» - совещательный орган, осуществляющий оценку эффективности функционирования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«нарушение антимонопольного законодательства» - недопущение, ограничение, устранение конкуренции в министерстве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«риски нарушения антимонопольного законодательства» - сочетание вероятности и последствий наступления неблагоприятных событий в виде ограничения, устранения или недопущения конкуренции;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«уполномоченное подразделение (должностн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)» - подразделение (должностное лицо) министерства</w:t>
      </w:r>
      <w:r>
        <w:rPr>
          <w:sz w:val="28"/>
          <w:szCs w:val="28"/>
        </w:rPr>
        <w:t xml:space="preserve">, осуществляющее внедрение антимонопольного комплаенса и контроль за его исполнением в министерстве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4"/>
        </w:numPr>
        <w:ind w:left="0" w:firstLine="709"/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Целями антимонопольного комплаенса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а)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беспечение соответствия 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ятельности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требованиям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 профилактика и сокращение количества нарушений требований антимонопольного законодательства в деятельности министерства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 повышение уровня правовой культуры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1.4. Задачи антимонопольного комплаенса: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 xml:space="preserve"> выявление рисков нарушения антимонопольного законодательства;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 xml:space="preserve"> управление рисками нарушения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 xml:space="preserve"> контроль за соответствием деятельности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требованиям антимонопольного законодательства;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 оценка эффективности функционирования в министерстве</w:t>
      </w:r>
      <w:r>
        <w:rPr>
          <w:sz w:val="28"/>
          <w:szCs w:val="28"/>
        </w:rPr>
        <w:t xml:space="preserve"> антимонопольного комплаенса.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1.5.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организации антимонопольного комплаенса в министерств </w:t>
      </w:r>
      <w:r>
        <w:rPr>
          <w:sz w:val="28"/>
          <w:szCs w:val="28"/>
        </w:rPr>
        <w:t xml:space="preserve">рекомендуется руководствоваться следующими принципами: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заинтересованность руководства министерства </w:t>
      </w:r>
      <w:r>
        <w:rPr>
          <w:sz w:val="28"/>
          <w:szCs w:val="28"/>
        </w:rPr>
        <w:t xml:space="preserve">в эффективности функционирования </w:t>
      </w:r>
      <w:r>
        <w:rPr>
          <w:sz w:val="28"/>
          <w:szCs w:val="28"/>
        </w:rPr>
        <w:t xml:space="preserve">анти</w:t>
      </w:r>
      <w:r>
        <w:rPr>
          <w:sz w:val="28"/>
          <w:szCs w:val="28"/>
        </w:rPr>
        <w:t xml:space="preserve">монопольного комплаенса;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регулярность оценки рисков нарушения антимонопольного законодательства;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обеспечение информационной открытости функционирования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антимонопольного комплаенса;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непрерывность функционирования антимонопольного комплаенса в министерстве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 xml:space="preserve"> совершенствование антимонопольного комплаенса.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widowControl w:val="off"/>
        <w:tabs>
          <w:tab w:val="left" w:pos="851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681"/>
        <w:numPr>
          <w:ilvl w:val="0"/>
          <w:numId w:val="4"/>
        </w:num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Уполномоченное подразделение (должностное лицо)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1"/>
        <w:ind w:left="360"/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 коллегиальный орган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1"/>
        <w:ind w:left="360"/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Общий контроль за организацией и функционированием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антимонопольного комплаенса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который: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вносит изменения</w:t>
      </w:r>
      <w:r>
        <w:rPr>
          <w:sz w:val="28"/>
          <w:szCs w:val="28"/>
        </w:rPr>
        <w:t xml:space="preserve"> в настоящее Положение</w:t>
      </w:r>
      <w:r>
        <w:rPr>
          <w:sz w:val="28"/>
          <w:szCs w:val="28"/>
        </w:rPr>
        <w:t xml:space="preserve">, а также принимает внутренние акты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регламентирующие функционирование антимонопольного комплаенса;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несоблюдение </w:t>
      </w:r>
      <w:r>
        <w:rPr>
          <w:sz w:val="28"/>
          <w:szCs w:val="28"/>
          <w:lang w:eastAsia="ar-SA"/>
        </w:rPr>
        <w:t xml:space="preserve">гражданскими служащими и работниками </w:t>
      </w:r>
      <w:r>
        <w:rPr>
          <w:sz w:val="28"/>
          <w:szCs w:val="28"/>
          <w:lang w:eastAsia="ar-SA"/>
        </w:rPr>
        <w:t xml:space="preserve">министерства </w:t>
      </w:r>
      <w:r>
        <w:rPr>
          <w:sz w:val="28"/>
          <w:szCs w:val="28"/>
        </w:rPr>
        <w:t xml:space="preserve">настоящего приказа</w:t>
      </w:r>
      <w:r>
        <w:rPr>
          <w:sz w:val="28"/>
          <w:szCs w:val="28"/>
        </w:rPr>
        <w:t xml:space="preserve"> об антимонопольном комплаенсе;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осуществляет контроль за устранением выявленных недостат</w:t>
      </w:r>
      <w:r>
        <w:rPr>
          <w:sz w:val="28"/>
          <w:szCs w:val="28"/>
        </w:rPr>
        <w:t xml:space="preserve">ков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утверждает ключевые показатели эффективности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подписывает доклад об антимонопольном комплаенсе, утверждаемый коллегиальным органом.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 В целях организации и функционирования антимонопольного комплаенса </w:t>
      </w:r>
      <w:r>
        <w:rPr>
          <w:sz w:val="28"/>
          <w:szCs w:val="28"/>
        </w:rPr>
        <w:t xml:space="preserve">определяется уполномоченное подразделение (должностные лица) в соответствии с организационной структурой, штатной численностью и характером деятельности </w:t>
      </w:r>
      <w:r>
        <w:rPr>
          <w:sz w:val="28"/>
          <w:szCs w:val="28"/>
        </w:rPr>
        <w:t xml:space="preserve">министерства.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Функции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(должностны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лиц) закрепляются решением руководителя министерства</w:t>
      </w:r>
      <w:r>
        <w:rPr>
          <w:sz w:val="28"/>
          <w:szCs w:val="28"/>
        </w:rPr>
        <w:t xml:space="preserve"> в соответствии со сферой выполняемых должностных обязанностей.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. При определении уполномоченного подразделения (назначении -должностн</w:t>
      </w:r>
      <w:r>
        <w:rPr>
          <w:sz w:val="28"/>
          <w:szCs w:val="28"/>
        </w:rPr>
        <w:t xml:space="preserve">ых лиц</w:t>
      </w:r>
      <w:r>
        <w:rPr>
          <w:sz w:val="28"/>
          <w:szCs w:val="28"/>
        </w:rPr>
        <w:t xml:space="preserve">) министерство</w:t>
      </w:r>
      <w:r>
        <w:rPr>
          <w:sz w:val="28"/>
          <w:szCs w:val="28"/>
        </w:rPr>
        <w:t xml:space="preserve"> руководств</w:t>
      </w:r>
      <w:r>
        <w:rPr>
          <w:sz w:val="28"/>
          <w:szCs w:val="28"/>
        </w:rPr>
        <w:t xml:space="preserve">уется</w:t>
      </w:r>
      <w:r>
        <w:rPr>
          <w:sz w:val="28"/>
          <w:szCs w:val="28"/>
        </w:rPr>
        <w:t xml:space="preserve"> следующими принципами: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подотчетность уполномоченного подразделения (должностн</w:t>
      </w:r>
      <w:r>
        <w:rPr>
          <w:sz w:val="28"/>
          <w:szCs w:val="28"/>
        </w:rPr>
        <w:t xml:space="preserve">ых лиц</w:t>
      </w:r>
      <w:r>
        <w:rPr>
          <w:sz w:val="28"/>
          <w:szCs w:val="28"/>
        </w:rPr>
        <w:t xml:space="preserve">) непосредственно руковод</w:t>
      </w:r>
      <w:r>
        <w:rPr>
          <w:sz w:val="28"/>
          <w:szCs w:val="28"/>
        </w:rPr>
        <w:t xml:space="preserve">ителю</w:t>
      </w:r>
      <w:r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достаточность полномочий и ресурсов, необходимых для выполнения своих задач уполномоченным подраз</w:t>
      </w:r>
      <w:r>
        <w:rPr>
          <w:sz w:val="28"/>
          <w:szCs w:val="28"/>
        </w:rPr>
        <w:t xml:space="preserve">делением (должностным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2.4</w:t>
      </w:r>
      <w:r>
        <w:rPr>
          <w:sz w:val="28"/>
          <w:szCs w:val="28"/>
        </w:rPr>
        <w:t xml:space="preserve">. К компетенции уполномоченного подразделения (должностн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относ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ся следующие функции: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акт об антимонопольном комплаенсе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внутриведомственных документов </w:t>
      </w:r>
      <w:r>
        <w:rPr>
          <w:sz w:val="28"/>
          <w:szCs w:val="28"/>
          <w:lang w:eastAsia="ar-SA"/>
        </w:rPr>
        <w:t xml:space="preserve">министерства</w:t>
      </w:r>
      <w:r>
        <w:rPr>
          <w:sz w:val="28"/>
          <w:szCs w:val="28"/>
        </w:rPr>
        <w:t xml:space="preserve">, регламентирующих процеду</w:t>
      </w:r>
      <w:r>
        <w:rPr>
          <w:sz w:val="28"/>
          <w:szCs w:val="28"/>
        </w:rPr>
        <w:t xml:space="preserve">ры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выявление </w:t>
      </w:r>
      <w:r>
        <w:rPr>
          <w:sz w:val="28"/>
          <w:szCs w:val="28"/>
        </w:rPr>
        <w:t xml:space="preserve">и оценка </w:t>
      </w:r>
      <w:r>
        <w:rPr>
          <w:sz w:val="28"/>
          <w:szCs w:val="28"/>
        </w:rPr>
        <w:t xml:space="preserve">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</w:t>
      </w:r>
      <w:r>
        <w:rPr>
          <w:sz w:val="28"/>
          <w:szCs w:val="28"/>
        </w:rPr>
        <w:t xml:space="preserve">имонопольного законодательства</w:t>
      </w:r>
      <w:r>
        <w:rPr>
          <w:sz w:val="28"/>
          <w:szCs w:val="28"/>
        </w:rPr>
        <w:t xml:space="preserve"> и информирование руководства об обстоятельствах и документах, которые могут повлечь нарушение антимонопольного законодательства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выявление конфликта интересов в деятельности служащих и структурных подразделений министерства</w:t>
      </w:r>
      <w:r>
        <w:rPr>
          <w:sz w:val="28"/>
          <w:szCs w:val="28"/>
        </w:rPr>
        <w:t xml:space="preserve">, разработка п</w:t>
      </w:r>
      <w:r>
        <w:rPr>
          <w:sz w:val="28"/>
          <w:szCs w:val="28"/>
        </w:rPr>
        <w:t xml:space="preserve">редложений по их исключению;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консультирование служащих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по вопросам, связанным с соблюдением антимонопольного законодательства</w:t>
      </w:r>
      <w:r>
        <w:rPr>
          <w:sz w:val="28"/>
          <w:szCs w:val="28"/>
        </w:rPr>
        <w:t xml:space="preserve"> и антимонопольным комплаенсом;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взаимодействия с другими структурными подразделениями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по вопросам, связанным</w:t>
      </w:r>
      <w:r>
        <w:rPr>
          <w:sz w:val="28"/>
          <w:szCs w:val="28"/>
        </w:rPr>
        <w:t xml:space="preserve"> с антимонопольным комплаенсом;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разработка процедуры внутреннего расследования, связанного с функционировани</w:t>
      </w:r>
      <w:r>
        <w:rPr>
          <w:sz w:val="28"/>
          <w:szCs w:val="28"/>
        </w:rPr>
        <w:t xml:space="preserve">ем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организация внутренних расследований, связанных с функционированием антимонопольного комплаенса, </w:t>
      </w:r>
      <w:r>
        <w:rPr>
          <w:sz w:val="28"/>
          <w:szCs w:val="28"/>
        </w:rPr>
        <w:t xml:space="preserve">и участие в них;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 xml:space="preserve">с антимонопольным органом,</w:t>
      </w:r>
      <w:r>
        <w:rPr>
          <w:sz w:val="28"/>
          <w:szCs w:val="28"/>
        </w:rPr>
        <w:t xml:space="preserve"> и организация содействия ему в части, касающейся вопросов, связ</w:t>
      </w:r>
      <w:r>
        <w:rPr>
          <w:sz w:val="28"/>
          <w:szCs w:val="28"/>
        </w:rPr>
        <w:t xml:space="preserve">анных с проводимыми провер</w:t>
      </w:r>
      <w:r>
        <w:rPr>
          <w:sz w:val="28"/>
          <w:szCs w:val="28"/>
        </w:rPr>
        <w:t xml:space="preserve">ками;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определение, подготовка и внесение на утверждение руководителю министерства ключевых показателей эффективности антимонопольного комплаенса</w:t>
      </w:r>
      <w:r>
        <w:rPr>
          <w:sz w:val="28"/>
          <w:szCs w:val="28"/>
        </w:rPr>
        <w:t xml:space="preserve"> на основе методики их расчета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подготовка проекта доклада об антимонопольном комплаенсе.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</w:rPr>
        <w:t xml:space="preserve">Оценку эффективности организации и функционирования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антимонопольного комплаенса ос</w:t>
      </w:r>
      <w:r>
        <w:rPr>
          <w:sz w:val="28"/>
          <w:szCs w:val="28"/>
        </w:rPr>
        <w:t xml:space="preserve">уществляет коллегиальный орган.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функциям коллегиального органа </w:t>
      </w:r>
      <w:r>
        <w:rPr>
          <w:sz w:val="28"/>
          <w:szCs w:val="28"/>
        </w:rPr>
        <w:t xml:space="preserve">относит</w:t>
      </w:r>
      <w:r>
        <w:rPr>
          <w:sz w:val="28"/>
          <w:szCs w:val="28"/>
        </w:rPr>
        <w:t xml:space="preserve">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оценка мероприятий </w:t>
      </w:r>
      <w:r>
        <w:rPr>
          <w:sz w:val="28"/>
          <w:szCs w:val="28"/>
        </w:rPr>
        <w:t xml:space="preserve">меинистерства</w:t>
      </w:r>
      <w:r>
        <w:rPr>
          <w:sz w:val="28"/>
          <w:szCs w:val="28"/>
        </w:rPr>
        <w:t xml:space="preserve"> в части, касающейся функционирован</w:t>
      </w:r>
      <w:r>
        <w:rPr>
          <w:sz w:val="28"/>
          <w:szCs w:val="28"/>
        </w:rPr>
        <w:t xml:space="preserve">ия антимонопольного комплаенса;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рассмотрение и утверждение доклада об </w:t>
      </w:r>
      <w:r>
        <w:rPr>
          <w:sz w:val="28"/>
          <w:szCs w:val="28"/>
        </w:rPr>
        <w:t xml:space="preserve">антимонопольном комплаенсе.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Выявление и оценка рисков нарушения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целях выявления </w:t>
      </w:r>
      <w:r>
        <w:rPr>
          <w:sz w:val="28"/>
          <w:szCs w:val="28"/>
        </w:rPr>
        <w:t xml:space="preserve">и оценки </w:t>
      </w:r>
      <w:r>
        <w:rPr>
          <w:sz w:val="28"/>
          <w:szCs w:val="28"/>
        </w:rPr>
        <w:t xml:space="preserve">рисков нарушения антимонопольного законодательства уполномоченным подразделением (должностным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) на регулярной основе проводится: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за предыдущие 3 года (наличие предостережений, предупреждений, штрафов, жалоб, возбужденных дел);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анализ нормативных правовых актов министерства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анализ проектов нормативных правовых актов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 мониторинг и анализ практики применения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При проведении </w:t>
      </w:r>
      <w:r>
        <w:rPr>
          <w:sz w:val="28"/>
          <w:szCs w:val="28"/>
        </w:rPr>
        <w:t xml:space="preserve">(не реже одного раза в год) </w:t>
      </w:r>
      <w:r>
        <w:rPr>
          <w:sz w:val="28"/>
          <w:szCs w:val="28"/>
        </w:rPr>
        <w:t xml:space="preserve">уполномоченным подразделением (должностным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осуществление сбора в структурных подразделениях министерства </w:t>
      </w:r>
      <w:r>
        <w:rPr>
          <w:sz w:val="28"/>
          <w:szCs w:val="28"/>
        </w:rPr>
        <w:t xml:space="preserve">сведений о наличии нарушений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составление перечня нарушений антимонопольного законодательства в министерстве</w:t>
      </w:r>
      <w:r>
        <w:rPr>
          <w:sz w:val="28"/>
          <w:szCs w:val="28"/>
        </w:rPr>
        <w:t xml:space="preserve">, который содержит классифицированные по сферам деятельности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сведения о выявленных за последние 3 года нарушениях антимонопольного </w:t>
      </w:r>
      <w:r>
        <w:rPr>
          <w:sz w:val="28"/>
          <w:szCs w:val="28"/>
        </w:rPr>
        <w:t xml:space="preserve">законодательства (отдельно по каждому нарушению) и информацию о нарушении (указание нарушенной нормы антимонопольного законодательства, краткое из</w:t>
      </w:r>
      <w:r>
        <w:rPr>
          <w:sz w:val="28"/>
          <w:szCs w:val="28"/>
        </w:rPr>
        <w:t xml:space="preserve">ложение сути </w:t>
      </w:r>
      <w:r>
        <w:rPr>
          <w:sz w:val="28"/>
          <w:szCs w:val="28"/>
        </w:rPr>
        <w:t xml:space="preserve">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министерством</w:t>
      </w:r>
      <w:r>
        <w:rPr>
          <w:sz w:val="28"/>
          <w:szCs w:val="28"/>
        </w:rPr>
        <w:t xml:space="preserve"> на недопущение повторения нарушения.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 При проведении (не реже одного раза в год) </w:t>
      </w:r>
      <w:r>
        <w:rPr>
          <w:sz w:val="28"/>
          <w:szCs w:val="28"/>
        </w:rPr>
        <w:t xml:space="preserve">уполномоченным подразделением (должностным лицом) анализа нормативных правовых актов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реализ</w:t>
      </w:r>
      <w:r>
        <w:rPr>
          <w:sz w:val="28"/>
          <w:szCs w:val="28"/>
        </w:rPr>
        <w:t xml:space="preserve">уются 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р</w:t>
      </w:r>
      <w:r>
        <w:rPr>
          <w:sz w:val="28"/>
          <w:szCs w:val="28"/>
        </w:rPr>
        <w:t xml:space="preserve">азработка и размещение на официальном сайте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исчерпывающего перечня нормативных правовых актов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(далее - перечень актов) с приложением к перечню актов текстов таких актов, за исключением актов, содержащих сведения, относящи</w:t>
      </w:r>
      <w:r>
        <w:rPr>
          <w:sz w:val="28"/>
          <w:szCs w:val="28"/>
        </w:rPr>
        <w:t xml:space="preserve">еся к охраняемой законом тайне.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</w:t>
      </w:r>
      <w:r>
        <w:rPr>
          <w:sz w:val="28"/>
          <w:szCs w:val="28"/>
        </w:rPr>
        <w:t xml:space="preserve">азмещение на официальном сайте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уведомления о начале сбора замечаний и предложений организа</w:t>
      </w:r>
      <w:r>
        <w:rPr>
          <w:sz w:val="28"/>
          <w:szCs w:val="28"/>
        </w:rPr>
        <w:t xml:space="preserve">ций и граждан по перечню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Уведомление) </w:t>
      </w:r>
      <w:r>
        <w:rPr>
          <w:sz w:val="28"/>
          <w:szCs w:val="28"/>
        </w:rPr>
        <w:t xml:space="preserve">согласно Приложению 1</w:t>
      </w:r>
      <w:r>
        <w:rPr>
          <w:sz w:val="28"/>
          <w:szCs w:val="28"/>
        </w:rPr>
        <w:t xml:space="preserve"> (Форма 1)</w:t>
      </w:r>
      <w:r>
        <w:rPr>
          <w:sz w:val="28"/>
          <w:szCs w:val="28"/>
        </w:rPr>
        <w:t xml:space="preserve"> в целях проведения публичных консультаций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Одновременно с размещением на официальном сайте министерства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уполномоченным подразделением (должностным лицом) извеща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по электронной почте </w:t>
      </w:r>
      <w:r>
        <w:rPr>
          <w:sz w:val="28"/>
          <w:szCs w:val="28"/>
        </w:rPr>
        <w:t xml:space="preserve">о начале сбора замечаний и предложений</w:t>
      </w:r>
      <w:r>
        <w:rPr>
          <w:sz w:val="28"/>
          <w:szCs w:val="28"/>
        </w:rPr>
        <w:t xml:space="preserve"> следующие предполагаемые участники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заинтересованные исполнительные органы государственной власти </w:t>
      </w:r>
      <w:r>
        <w:rPr>
          <w:bCs/>
          <w:sz w:val="28"/>
          <w:szCs w:val="28"/>
        </w:rPr>
        <w:t xml:space="preserve"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иные организации, которые, по мнению министерства</w:t>
      </w:r>
      <w:r>
        <w:rPr>
          <w:rFonts w:eastAsiaTheme="minorHAnsi"/>
          <w:sz w:val="28"/>
          <w:szCs w:val="28"/>
          <w:lang w:eastAsia="en-US"/>
        </w:rPr>
        <w:t xml:space="preserve">, целесообразно привлечь к публичным консультациям.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Срок проведения публичных консультаций определяется </w:t>
      </w:r>
      <w:r>
        <w:rPr>
          <w:sz w:val="28"/>
          <w:szCs w:val="28"/>
        </w:rPr>
        <w:t xml:space="preserve">уполномоченным подразделением (должностным лицом) самостоятельно, который не может </w:t>
      </w:r>
      <w:r>
        <w:rPr>
          <w:sz w:val="28"/>
          <w:szCs w:val="28"/>
        </w:rPr>
        <w:t xml:space="preserve">быть менее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30</w:t>
      </w:r>
      <w:r>
        <w:rPr>
          <w:rFonts w:eastAsiaTheme="minorHAnsi"/>
          <w:sz w:val="28"/>
          <w:szCs w:val="28"/>
          <w:lang w:eastAsia="en-US"/>
        </w:rPr>
        <w:t xml:space="preserve"> рабочих дней</w:t>
      </w:r>
      <w:r>
        <w:rPr>
          <w:rFonts w:eastAsiaTheme="minorHAnsi"/>
          <w:sz w:val="28"/>
          <w:szCs w:val="28"/>
          <w:lang w:eastAsia="en-US"/>
        </w:rPr>
        <w:t xml:space="preserve"> со дня размещ</w:t>
      </w:r>
      <w:r>
        <w:rPr>
          <w:rFonts w:eastAsiaTheme="minorHAnsi"/>
          <w:sz w:val="28"/>
          <w:szCs w:val="28"/>
          <w:lang w:eastAsia="en-US"/>
        </w:rPr>
        <w:t xml:space="preserve">ения на официальном сайте министерства у</w:t>
      </w:r>
      <w:r>
        <w:rPr>
          <w:rFonts w:eastAsiaTheme="minorHAnsi"/>
          <w:sz w:val="28"/>
          <w:szCs w:val="28"/>
          <w:lang w:eastAsia="en-US"/>
        </w:rPr>
        <w:t xml:space="preserve">ведомления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существление сбора и проведение анализа представленных замечаний и предложений организа</w:t>
      </w:r>
      <w:r>
        <w:rPr>
          <w:sz w:val="28"/>
          <w:szCs w:val="28"/>
        </w:rPr>
        <w:t xml:space="preserve">ций и граждан по перечню актов.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) п</w:t>
      </w:r>
      <w:r>
        <w:rPr>
          <w:sz w:val="28"/>
          <w:szCs w:val="28"/>
        </w:rPr>
        <w:t xml:space="preserve">редставление руководству министерства</w:t>
      </w:r>
      <w:r>
        <w:rPr>
          <w:sz w:val="28"/>
          <w:szCs w:val="28"/>
        </w:rPr>
        <w:t xml:space="preserve"> сводного доклада с обоснованием целесообразности (нецелесообразности) внесения изменений в нормативные правовые акты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  <w:lang w:eastAsia="ar-SA"/>
        </w:rPr>
        <w:t xml:space="preserve">в течении 10 рабочих дней со дня окончания срока проведения публичных консультаций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</w:t>
      </w:r>
      <w:r>
        <w:rPr>
          <w:sz w:val="28"/>
          <w:szCs w:val="28"/>
        </w:rPr>
        <w:t xml:space="preserve">. При проведении анализа проектов нормативных правовых актов уполномоченным подразделением (должностным лицом) реализ</w:t>
      </w:r>
      <w:r>
        <w:rPr>
          <w:sz w:val="28"/>
          <w:szCs w:val="28"/>
        </w:rPr>
        <w:t xml:space="preserve">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р</w:t>
      </w:r>
      <w:r>
        <w:rPr>
          <w:sz w:val="28"/>
          <w:szCs w:val="28"/>
        </w:rPr>
        <w:t xml:space="preserve">азмещение на официальном сайте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нормативного правового акта с необходимым обоснованием реализации предлагаемых решений, в том ч</w:t>
      </w:r>
      <w:r>
        <w:rPr>
          <w:sz w:val="28"/>
          <w:szCs w:val="28"/>
        </w:rPr>
        <w:t xml:space="preserve">исле их влияния на </w:t>
      </w:r>
      <w:r>
        <w:rPr>
          <w:sz w:val="28"/>
          <w:szCs w:val="28"/>
        </w:rPr>
        <w:t xml:space="preserve">конкуренцию.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р</w:t>
      </w:r>
      <w:r>
        <w:rPr>
          <w:sz w:val="28"/>
          <w:szCs w:val="28"/>
        </w:rPr>
        <w:t xml:space="preserve">азмещение на официальном сайте министерства</w:t>
      </w:r>
      <w:r>
        <w:rPr>
          <w:sz w:val="28"/>
          <w:szCs w:val="28"/>
        </w:rPr>
        <w:t xml:space="preserve"> уведомления о начале сбора замечаний и предложений организаций и граждан по проекту нормативного правового акта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Уведомление) </w:t>
      </w:r>
      <w:r>
        <w:rPr>
          <w:sz w:val="28"/>
          <w:szCs w:val="28"/>
        </w:rPr>
        <w:t xml:space="preserve">согласно Приложению  1 </w:t>
      </w:r>
      <w:r>
        <w:rPr>
          <w:sz w:val="28"/>
          <w:szCs w:val="28"/>
        </w:rPr>
        <w:t xml:space="preserve">(Форма 2) </w:t>
      </w:r>
      <w:r>
        <w:rPr>
          <w:sz w:val="28"/>
          <w:szCs w:val="28"/>
        </w:rPr>
        <w:t xml:space="preserve">в целях проведения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Одновременно с размещением на официальном сайте министерства</w:t>
      </w:r>
      <w:r>
        <w:rPr>
          <w:sz w:val="28"/>
          <w:szCs w:val="28"/>
        </w:rPr>
        <w:t xml:space="preserve"> уведомления, уполномоченным подразделением (должностным лицом) извещаются о начале сбора замечаний и предложений следующие предполагаемые участники: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заинтересованные исполнительные органы государственной власти </w:t>
      </w:r>
      <w:r>
        <w:rPr>
          <w:bCs/>
          <w:sz w:val="28"/>
          <w:szCs w:val="28"/>
        </w:rPr>
        <w:t xml:space="preserve">Липецкой области</w:t>
      </w:r>
      <w:r>
        <w:rPr>
          <w:rFonts w:eastAsiaTheme="minorHAnsi"/>
          <w:sz w:val="28"/>
          <w:szCs w:val="28"/>
          <w:lang w:eastAsia="en-US"/>
        </w:rPr>
        <w:t xml:space="preserve">;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иные организации, которые, по мнению министерства</w:t>
      </w:r>
      <w:r>
        <w:rPr>
          <w:rFonts w:eastAsiaTheme="minorHAnsi"/>
          <w:sz w:val="28"/>
          <w:szCs w:val="28"/>
          <w:lang w:eastAsia="en-US"/>
        </w:rPr>
        <w:t xml:space="preserve">, целесообразно привлечь к публичным консультациям.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Срок проведения публичных консультаций определяется </w:t>
      </w:r>
      <w:r>
        <w:rPr>
          <w:sz w:val="28"/>
          <w:szCs w:val="28"/>
        </w:rPr>
        <w:t xml:space="preserve">уполномоченным подразделением (должностным лицом) самостоятельно, который не может </w:t>
      </w:r>
      <w:r>
        <w:rPr>
          <w:sz w:val="28"/>
          <w:szCs w:val="28"/>
        </w:rPr>
        <w:t xml:space="preserve">быть менее 7 </w:t>
      </w:r>
      <w:r>
        <w:rPr>
          <w:rFonts w:eastAsiaTheme="minorHAnsi"/>
          <w:sz w:val="28"/>
          <w:szCs w:val="28"/>
          <w:lang w:eastAsia="en-US"/>
        </w:rPr>
        <w:t xml:space="preserve">рабочих дней со дня размещения на официальном сайте министерства</w:t>
      </w:r>
      <w:r>
        <w:rPr>
          <w:rFonts w:eastAsiaTheme="minorHAnsi"/>
          <w:sz w:val="28"/>
          <w:szCs w:val="28"/>
          <w:lang w:eastAsia="en-US"/>
        </w:rPr>
        <w:t xml:space="preserve"> Уведомления.</w:t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p>
      <w:pPr>
        <w:ind w:firstLine="709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По итогам рассмотрения полученных предложений и замечаний по проекту нормативного правового акта подготавливается справка о выявлении (отсутствии) в проекте нормативного акта положений, противоречащих антимонопольному законодательству.</w:t>
      </w:r>
      <w:r>
        <w:rPr>
          <w:rFonts w:eastAsiaTheme="minorHAnsi"/>
          <w:color w:val="000000"/>
          <w:sz w:val="28"/>
          <w:szCs w:val="28"/>
        </w:rPr>
      </w:r>
      <w:r>
        <w:rPr>
          <w:rFonts w:eastAsiaTheme="minorHAnsi"/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</w:t>
      </w:r>
      <w:r>
        <w:rPr>
          <w:sz w:val="28"/>
          <w:szCs w:val="28"/>
        </w:rPr>
        <w:t xml:space="preserve">. При проведении мониторинга и анализа практики применения антимонопольного законодательства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уполномоченным подразделением (должностным лицом) реализ</w:t>
      </w:r>
      <w:r>
        <w:rPr>
          <w:sz w:val="28"/>
          <w:szCs w:val="28"/>
        </w:rPr>
        <w:t xml:space="preserve">уются следующие мероприятия: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осуществление на постоянной основе сбора сведений о правоприменительной практике в министерстве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подготовка по итогам сбора информац</w:t>
      </w:r>
      <w:r>
        <w:rPr>
          <w:sz w:val="28"/>
          <w:szCs w:val="28"/>
        </w:rPr>
        <w:t xml:space="preserve">ии, предусмотренной подпунктом «а»</w:t>
      </w:r>
      <w:r>
        <w:rPr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</w:t>
      </w:r>
      <w:r>
        <w:rPr>
          <w:sz w:val="28"/>
          <w:szCs w:val="28"/>
        </w:rPr>
        <w:t xml:space="preserve">. Выявляемые риски нарушения антимонопольного законодательства распределяются уполномоченным органом (должностным лицом) </w:t>
      </w:r>
      <w:r>
        <w:rPr>
          <w:sz w:val="28"/>
          <w:szCs w:val="28"/>
        </w:rPr>
        <w:t xml:space="preserve">по уровням</w:t>
      </w:r>
      <w:r>
        <w:rPr>
          <w:sz w:val="28"/>
          <w:szCs w:val="28"/>
        </w:rPr>
        <w:t xml:space="preserve">, согласно П</w:t>
      </w:r>
      <w:r>
        <w:rPr>
          <w:sz w:val="28"/>
          <w:szCs w:val="28"/>
        </w:rPr>
        <w:t xml:space="preserve">риложению 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На основе проведенной оценки рисков нарушения антимонопольного законодательства уполномоченным подразделением (должностным лицом) составляется </w:t>
      </w:r>
      <w:r>
        <w:rPr>
          <w:sz w:val="28"/>
          <w:szCs w:val="28"/>
        </w:rPr>
        <w:t xml:space="preserve">карта</w:t>
      </w:r>
      <w:r>
        <w:rPr>
          <w:sz w:val="28"/>
          <w:szCs w:val="28"/>
        </w:rPr>
        <w:t xml:space="preserve"> рисков, в котор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также включается оценка причин </w:t>
      </w:r>
      <w:r>
        <w:rPr>
          <w:sz w:val="28"/>
          <w:szCs w:val="28"/>
        </w:rPr>
        <w:t xml:space="preserve">и условий возникновения рисков</w:t>
      </w:r>
      <w:r>
        <w:rPr>
          <w:sz w:val="28"/>
          <w:szCs w:val="28"/>
        </w:rPr>
        <w:t xml:space="preserve">, согласно Приложению 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Мероприятия по снижению рисков нарушения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законодательства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4.1. В целях снижения рисков нарушения антимонопольного законодательства уполномоченным подразделением (должностным лицом) разрабатыва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тся (не реже одного раза в год) </w:t>
      </w:r>
      <w:r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мероприяти</w:t>
      </w:r>
      <w:r>
        <w:rPr>
          <w:sz w:val="28"/>
          <w:szCs w:val="28"/>
        </w:rPr>
        <w:t xml:space="preserve">й («дорожная карта»)</w:t>
      </w:r>
      <w:r>
        <w:rPr>
          <w:sz w:val="28"/>
          <w:szCs w:val="28"/>
        </w:rPr>
        <w:t xml:space="preserve"> по снижению рисков нарушения антимонопольного законодательства, согласно Приложению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План мероприятий («дорожная карта») определяется по итогам выявления и оценки рисков</w:t>
      </w:r>
      <w:r>
        <w:rPr>
          <w:sz w:val="28"/>
          <w:szCs w:val="28"/>
        </w:rPr>
        <w:t xml:space="preserve"> в течении 5 рабочих дней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4.2.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4.3. Информация об исполнении мероприятий по снижению рисков нарушения антимонопольного законодательства </w:t>
      </w:r>
      <w:r>
        <w:rPr>
          <w:sz w:val="28"/>
          <w:szCs w:val="28"/>
        </w:rPr>
        <w:t xml:space="preserve">уполномоченным подразделением (должностным лицом) </w:t>
      </w:r>
      <w:r>
        <w:rPr>
          <w:sz w:val="28"/>
          <w:szCs w:val="28"/>
        </w:rPr>
        <w:t xml:space="preserve">включается в доклад об антимонопольном комплаенсе.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851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Оценка эффективности функционирования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антимонопольного комплаенса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 целях оценки эффективности функционирования в </w:t>
      </w:r>
      <w:r>
        <w:rPr>
          <w:sz w:val="28"/>
          <w:szCs w:val="28"/>
        </w:rPr>
        <w:t xml:space="preserve">министерстве </w:t>
      </w:r>
      <w:r>
        <w:rPr>
          <w:sz w:val="28"/>
          <w:szCs w:val="28"/>
        </w:rPr>
        <w:t xml:space="preserve">антимонопольного комплаенса устанавлива</w:t>
      </w:r>
      <w:r>
        <w:rPr>
          <w:sz w:val="28"/>
          <w:szCs w:val="28"/>
        </w:rPr>
        <w:t xml:space="preserve">ются</w:t>
      </w:r>
      <w:r>
        <w:rPr>
          <w:sz w:val="28"/>
          <w:szCs w:val="28"/>
        </w:rPr>
        <w:t xml:space="preserve"> ключевые показатели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Перечень и критерии их оценки определены в Методике расчета ключевых показателей эффективности функционирования антимонопольного комплаенса в министерстве, согласно Приложению 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Оценка достижения ключевых показателей эффективности антимонопольного комплаенса в министерстве </w:t>
      </w:r>
      <w:r>
        <w:rPr>
          <w:color w:val="000000" w:themeColor="text1"/>
          <w:sz w:val="28"/>
          <w:szCs w:val="28"/>
          <w:lang w:eastAsia="ar-SA"/>
        </w:rPr>
        <w:t xml:space="preserve">ежегодно проводится у</w:t>
      </w:r>
      <w:r>
        <w:rPr>
          <w:color w:val="000000" w:themeColor="text1"/>
          <w:sz w:val="28"/>
          <w:szCs w:val="28"/>
        </w:rPr>
        <w:t xml:space="preserve">полномоченн</w:t>
      </w:r>
      <w:r>
        <w:rPr>
          <w:color w:val="000000" w:themeColor="text1"/>
          <w:sz w:val="28"/>
          <w:szCs w:val="28"/>
        </w:rPr>
        <w:t xml:space="preserve">ым</w:t>
      </w:r>
      <w:r>
        <w:rPr>
          <w:color w:val="000000" w:themeColor="text1"/>
          <w:sz w:val="28"/>
          <w:szCs w:val="28"/>
        </w:rPr>
        <w:t xml:space="preserve"> подразделение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 (должностн</w:t>
      </w:r>
      <w:r>
        <w:rPr>
          <w:color w:val="000000" w:themeColor="text1"/>
          <w:sz w:val="28"/>
          <w:szCs w:val="28"/>
        </w:rPr>
        <w:t xml:space="preserve">ым </w:t>
      </w:r>
      <w:r>
        <w:rPr>
          <w:color w:val="000000" w:themeColor="text1"/>
          <w:sz w:val="28"/>
          <w:szCs w:val="28"/>
        </w:rPr>
        <w:t xml:space="preserve">лицо</w:t>
      </w: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) (не реже одного раза в год)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Информация о достижении ключевых показателей эффективности функционирования в министерстве</w:t>
      </w:r>
      <w:r>
        <w:rPr>
          <w:sz w:val="28"/>
          <w:szCs w:val="28"/>
        </w:rPr>
        <w:t xml:space="preserve"> антимонопольного комплаенса включается в доклад об антимонопольном комплаенсе.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tabs>
          <w:tab w:val="left" w:pos="851" w:leader="none"/>
        </w:tabs>
      </w:pPr>
      <w:r>
        <w:tab/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Доклад об антимонопольном комплаенсе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Подготовка д</w:t>
      </w:r>
      <w:r>
        <w:rPr>
          <w:sz w:val="28"/>
          <w:szCs w:val="28"/>
        </w:rPr>
        <w:t xml:space="preserve">оклад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об антимонопольном комплаенсе </w:t>
      </w:r>
      <w:r>
        <w:rPr>
          <w:sz w:val="28"/>
          <w:szCs w:val="28"/>
        </w:rPr>
        <w:t xml:space="preserve">осуществляется уполномоченным подразделением (должностным лицом) не позднее 1 февраля года, следующего за отчетным.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Доклад об антимонопольном комплаенсе </w:t>
      </w:r>
      <w:r>
        <w:rPr>
          <w:sz w:val="28"/>
          <w:szCs w:val="28"/>
        </w:rPr>
        <w:t xml:space="preserve">содержит информацию: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 результатах проведенной оценки рисков нарушения </w:t>
      </w:r>
      <w:r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антимонопольного законодательства;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 исполнении мероприятий по снижению рисков нарушения </w:t>
      </w:r>
      <w:r>
        <w:rPr>
          <w:sz w:val="28"/>
          <w:szCs w:val="28"/>
        </w:rPr>
        <w:t xml:space="preserve">министерством</w:t>
      </w:r>
      <w:r>
        <w:rPr>
          <w:sz w:val="28"/>
          <w:szCs w:val="28"/>
        </w:rPr>
        <w:t xml:space="preserve"> антимонопольного законодательства;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достижении ключевых показателей эффективности антимонопольного комплаенса.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Доклад об антимонопольном комплаенсе </w:t>
      </w:r>
      <w:r>
        <w:rPr>
          <w:sz w:val="28"/>
          <w:szCs w:val="28"/>
        </w:rPr>
        <w:t xml:space="preserve">представляется </w:t>
      </w:r>
      <w:r>
        <w:rPr>
          <w:sz w:val="28"/>
          <w:szCs w:val="28"/>
        </w:rPr>
        <w:t xml:space="preserve">уполномоченным подразделением (должностным лицом) </w:t>
      </w:r>
      <w:r>
        <w:rPr>
          <w:sz w:val="28"/>
          <w:szCs w:val="28"/>
        </w:rPr>
        <w:t xml:space="preserve">в коллегиальный орган </w:t>
      </w:r>
      <w:r>
        <w:rPr>
          <w:sz w:val="28"/>
          <w:szCs w:val="28"/>
        </w:rPr>
        <w:t xml:space="preserve">на утверждение.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Доклад об антимонопольном комплаенсе, утвержденный коллегиальным органом, размещается на официальном сайте министерства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направляется в министерство </w:t>
      </w:r>
      <w:r>
        <w:rPr>
          <w:sz w:val="28"/>
          <w:szCs w:val="28"/>
        </w:rPr>
        <w:t xml:space="preserve">экономического развития Липецкой области и у</w:t>
      </w:r>
      <w:r>
        <w:rPr>
          <w:sz w:val="28"/>
          <w:szCs w:val="28"/>
        </w:rPr>
        <w:t xml:space="preserve">правление федеральной антимонопольной службы России по </w:t>
      </w:r>
      <w:r>
        <w:rPr>
          <w:bCs/>
          <w:sz w:val="28"/>
          <w:szCs w:val="28"/>
        </w:rPr>
        <w:t xml:space="preserve">Липецкой области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br w:type="page" w:clear="all"/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>
        <w:tblPrEx/>
        <w:trPr/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ind w:left="58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1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8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</w:t>
            </w:r>
            <w:r>
              <w:rPr>
                <w:sz w:val="28"/>
                <w:szCs w:val="28"/>
              </w:rPr>
              <w:t xml:space="preserve">об организации системы внутреннего обеспечения соответствия требованиям антимонопольного законодательства в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812"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министерства культуры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58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№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</w:t>
      </w:r>
      <w:r>
        <w:rPr>
          <w:bCs/>
          <w:sz w:val="28"/>
          <w:szCs w:val="28"/>
        </w:rPr>
        <w:t xml:space="preserve">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нормативных правовых актов на соответствие их антимонопольному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законодательству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 xml:space="preserve">министерство культуры Липецкой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</w:t>
      </w:r>
      <w:r>
        <w:rPr>
          <w:sz w:val="28"/>
          <w:szCs w:val="28"/>
        </w:rPr>
        <w:t xml:space="preserve"> о проведении публичных консультаций </w:t>
      </w:r>
      <w:r>
        <w:rPr>
          <w:sz w:val="28"/>
          <w:szCs w:val="28"/>
        </w:rPr>
        <w:t xml:space="preserve">(наименование нормативных правовых актов)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В рамках публичных </w:t>
      </w:r>
      <w:r>
        <w:rPr>
          <w:sz w:val="28"/>
          <w:szCs w:val="28"/>
        </w:rPr>
        <w:t xml:space="preserve">консультаций все заинтересованные лица могут направить свои предложения и замечания по данн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Предложения и замечания принимаются по адресу: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а также по адресу электронной почты: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Сроки приема предложений и замечаний: с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Место размещения уведомления </w:t>
      </w:r>
      <w:r>
        <w:rPr>
          <w:sz w:val="28"/>
          <w:szCs w:val="28"/>
        </w:rPr>
        <w:t xml:space="preserve">и реестра нормативных правовых актов </w:t>
      </w:r>
      <w:r>
        <w:rPr>
          <w:sz w:val="28"/>
          <w:szCs w:val="28"/>
        </w:rPr>
        <w:t xml:space="preserve">в информационно-телекоммуникационной сети «Интернет» (полный электронный адрес):</w:t>
      </w:r>
      <w:r>
        <w:rPr>
          <w:sz w:val="28"/>
          <w:szCs w:val="28"/>
        </w:rPr>
        <w:t xml:space="preserve"> 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1. Анкета для участников публичных консультаций</w:t>
      </w:r>
      <w:r>
        <w:rPr>
          <w:sz w:val="28"/>
          <w:szCs w:val="28"/>
        </w:rPr>
        <w:t xml:space="preserve"> (Форма № 3)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(ФИО)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(Должность)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(контакты)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с 09-00 до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right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Форма № 2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проекта нормативного правового акта на соответствие его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tabs>
          <w:tab w:val="left" w:pos="567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ab/>
        <w:t xml:space="preserve">Настоящим министерство культуры Липецкой области</w:t>
      </w:r>
      <w:r>
        <w:rPr>
          <w:sz w:val="28"/>
          <w:szCs w:val="28"/>
        </w:rPr>
        <w:t xml:space="preserve"> уведомляет о проведении публичных консультаций (наименование проекта нормативных правовых актов).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В рамках публичных консультаций все заинтересованные лица могут направить свои предложения и замечания по </w:t>
      </w:r>
      <w:r>
        <w:rPr>
          <w:sz w:val="28"/>
          <w:szCs w:val="28"/>
        </w:rPr>
        <w:t xml:space="preserve">данно</w:t>
      </w:r>
      <w:r>
        <w:rPr>
          <w:sz w:val="28"/>
          <w:szCs w:val="28"/>
        </w:rPr>
        <w:t xml:space="preserve">му нормативному правовому акту.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Предложения и замечания принимаются по адресу: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по адресу электронной почты: 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Сроки приема предложений и замечаний: с ___________ по 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___________________________________________________.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________________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1. Анкета для участников публичных консультаций</w:t>
      </w:r>
      <w:r>
        <w:rPr>
          <w:sz w:val="28"/>
          <w:szCs w:val="28"/>
        </w:rPr>
        <w:t xml:space="preserve"> (Форма № 3)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2. (наименование проекта нормативного правового акта).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(ФИО), (Должность), (контакты);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sz w:val="28"/>
          <w:szCs w:val="28"/>
        </w:rPr>
        <w:t xml:space="preserve">с 09-00 до ______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Форма № 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tabs>
          <w:tab w:val="left" w:pos="29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85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Сфера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телефон: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0" w:type="auto"/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0" w:type="auto"/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Наличие (отсутствии)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jc w:val="center"/>
        <w:tabs>
          <w:tab w:val="left" w:pos="2940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tabs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rPr>
          <w:highlight w:val="yellow"/>
        </w:rPr>
      </w:pPr>
      <w:r>
        <w:rPr>
          <w:highlight w:val="yellow"/>
        </w:rPr>
        <w:br w:type="page" w:clear="all"/>
      </w:r>
      <w:r>
        <w:rPr>
          <w:highlight w:val="yellow"/>
        </w:rPr>
      </w:r>
      <w:r>
        <w:rPr>
          <w:highlight w:val="yellow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к Положению об организации системы внутреннего обеспечения соответствия требованиям антимонопольного законодательства в деятельности министерства культуры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tabs>
          <w:tab w:val="left" w:pos="29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Уровни рисков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9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нарушения антимонопольного законодательства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9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0"/>
        <w:tblW w:w="0" w:type="auto"/>
        <w:tblInd w:w="-459" w:type="dxa"/>
        <w:tblLook w:val="04A0" w:firstRow="1" w:lastRow="0" w:firstColumn="1" w:lastColumn="0" w:noHBand="0" w:noVBand="1"/>
      </w:tblPr>
      <w:tblGrid>
        <w:gridCol w:w="3227"/>
        <w:gridCol w:w="6979"/>
      </w:tblGrid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риска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риска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Низкий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Отрицательное влияние на отношение институтов гражданского общества к деятельности </w:t>
            </w:r>
            <w:r>
              <w:rPr>
                <w:sz w:val="28"/>
                <w:szCs w:val="28"/>
              </w:rPr>
              <w:t xml:space="preserve">министерства культуры Липецкой области</w:t>
            </w:r>
            <w:r>
              <w:rPr>
                <w:sz w:val="28"/>
                <w:szCs w:val="28"/>
              </w:rPr>
              <w:t xml:space="preserve">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Незначительный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>
              <w:rPr>
                <w:sz w:val="28"/>
                <w:szCs w:val="28"/>
              </w:rPr>
              <w:t xml:space="preserve">министерству культуры Липецкой области</w:t>
            </w:r>
            <w:r>
              <w:rPr>
                <w:sz w:val="28"/>
                <w:szCs w:val="28"/>
              </w:rPr>
              <w:t xml:space="preserve"> предупреждения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Существенный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>
              <w:rPr>
                <w:sz w:val="28"/>
                <w:szCs w:val="28"/>
              </w:rPr>
              <w:t xml:space="preserve">министерству культуры Липецкой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предупреждения и возбуждения в отношении него дела о нарушении антимонопольного законодательства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jc w:val="center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Высокий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79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Вероятность выдачи </w:t>
            </w:r>
            <w:r>
              <w:rPr>
                <w:sz w:val="28"/>
                <w:szCs w:val="28"/>
              </w:rPr>
              <w:t xml:space="preserve">министерству культуры Липецкой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(штраф, дисквалификация)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tabs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rPr>
          <w:highlight w:val="yellow"/>
        </w:rPr>
      </w:pPr>
      <w:r>
        <w:rPr>
          <w:highlight w:val="yellow"/>
        </w:rPr>
        <w:br w:type="page" w:clear="all"/>
      </w:r>
      <w:r>
        <w:rPr>
          <w:highlight w:val="yellow"/>
        </w:rPr>
      </w:r>
      <w:r>
        <w:rPr>
          <w:highlight w:val="yellow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3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деятельности министерства культуры </w:t>
      </w:r>
      <w:r>
        <w:rPr>
          <w:bCs/>
          <w:sz w:val="28"/>
          <w:szCs w:val="28"/>
        </w:rPr>
        <w:t xml:space="preserve">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КАРТА (ПАСПОРТ) КОМПЛАЕНС-РИСКОВ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50"/>
        <w:tblW w:w="10867" w:type="dxa"/>
        <w:tblInd w:w="-885" w:type="dxa"/>
        <w:tblLook w:val="04A0" w:firstRow="1" w:lastRow="0" w:firstColumn="1" w:lastColumn="0" w:noHBand="0" w:noVBand="1"/>
      </w:tblPr>
      <w:tblGrid>
        <w:gridCol w:w="560"/>
        <w:gridCol w:w="1398"/>
        <w:gridCol w:w="1775"/>
        <w:gridCol w:w="1971"/>
        <w:gridCol w:w="1728"/>
        <w:gridCol w:w="1557"/>
        <w:gridCol w:w="18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Уровень риска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 риска (описание риска)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Причины и условия возникновения (описание)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Меры по минимизации и устранению рисков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Наличие (отсутствие) остаточных рисков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Вероятность повторного возникновения рисков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 4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деятельности министерства культуры </w:t>
      </w:r>
      <w:r>
        <w:rPr>
          <w:bCs/>
          <w:sz w:val="28"/>
          <w:szCs w:val="28"/>
        </w:rPr>
        <w:t xml:space="preserve">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jc w:val="right"/>
      </w:pPr>
      <w:r/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«дорожная карта» по снижению комплаенс-рисков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 на 20___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tbl>
      <w:tblPr>
        <w:tblStyle w:val="850"/>
        <w:tblW w:w="110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7"/>
        <w:gridCol w:w="1547"/>
        <w:gridCol w:w="1429"/>
        <w:gridCol w:w="1417"/>
        <w:gridCol w:w="1702"/>
        <w:gridCol w:w="994"/>
        <w:gridCol w:w="1134"/>
        <w:gridCol w:w="1559"/>
      </w:tblGrid>
      <w:tr>
        <w:tblPrEx/>
        <w:trPr>
          <w:trHeight w:val="24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Комплаенс-риск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Общие меры по минимизации и устранению рисков (согласно карте риска)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ind w:left="-96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Предложенные действия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Необходимые ресурсы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ind w:left="-107" w:right="-11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Ответственный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Срок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Критерии качества работы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Требования к обмену информацией и мониторингу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vAlign w:val="center"/>
            <w:textDirection w:val="lrTb"/>
            <w:noWrap w:val="false"/>
          </w:tcPr>
          <w:p>
            <w:pPr>
              <w:ind w:left="-96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ind w:left="-96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9" w:type="dxa"/>
            <w:textDirection w:val="lrTb"/>
            <w:noWrap w:val="false"/>
          </w:tcPr>
          <w:p>
            <w:pPr>
              <w:ind w:left="-96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5812"/>
        <w:jc w:val="right"/>
      </w:pPr>
      <w:r/>
      <w:r/>
    </w:p>
    <w:p>
      <w:pPr>
        <w:ind w:left="5812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5812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 5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81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>
        <w:rPr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деятельности министерства культуры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357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 w:bidi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Методика расчета ключевых показателей эффективности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функционирования в министерстве культуры Липецкой области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антимонопольного комплаенса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Методика расчета КПЭ для министерства культуры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Липецкой области в целом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Ключевыми показателями эффективности антимонопольного комплаенса для министерства культуры Липецкой области (далее – министерство) в целом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коэффициент снижения количества нарушений антимонопольного законодательства со стороны министерства (по сравнению с отчетным финансовым годом);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доля проектов нормативных правовых актов министерства, в которых выявлены риски нарушения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доля нормативных правовых актов министерства, в которых выявлены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министерства</w:t>
      </w:r>
      <w:r>
        <w:rPr>
          <w:sz w:val="28"/>
          <w:szCs w:val="28"/>
        </w:rPr>
        <w:t xml:space="preserve"> (по сравнению с отчетным финансовым годом)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/>
      <m:oMath>
        <m:r>
          <w:rPr>
            <w:rFonts w:ascii="Cambria Math" w:hAnsi="Cambria Math"/>
          </w:rPr>
          <m:rPr>
            <m:sty m:val="p"/>
          </m:rPr>
          <m:t>КСН=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rPr>
                    <m:sty m:val="p"/>
                  </m:rPr>
                  <m:t>КН</m:t>
                </m:r>
              </m:e>
              <m:sub>
                <m:r>
                  <w:rPr>
                    <w:rFonts w:ascii="Cambria Math" w:hAnsi="Cambria Math"/>
                  </w:rPr>
                  <m:rPr>
                    <m:sty m:val="p"/>
                  </m:rPr>
                  <m:t>ог</m:t>
                </m:r>
              </m:sub>
            </m:sSub>
          </m:num>
          <m:den>
            <m:r>
              <w:rPr>
                <w:rFonts w:ascii="Cambria Math" w:hAnsi="Cambria Math"/>
              </w:rPr>
              <m:rPr>
                <m:sty m:val="p"/>
              </m:rPr>
              <m:t>КНтг</m:t>
            </m:r>
          </m:den>
        </m:f>
      </m:oMath>
      <w:r>
        <w:rPr>
          <w:rFonts w:eastAsiaTheme="minorEastAsia"/>
        </w:rPr>
        <w:t xml:space="preserve">, где</w:t>
      </w:r>
      <w:r/>
    </w:p>
    <w:p>
      <w:pPr>
        <w:jc w:val="both"/>
      </w:pP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КСН – коэффициент снижения количества нарушений антимонопольного законодательства со стороны министерства по сравнению с </w:t>
      </w:r>
      <w:r>
        <w:rPr>
          <w:sz w:val="28"/>
          <w:szCs w:val="28"/>
        </w:rPr>
        <w:t xml:space="preserve">отчетным финансовым годом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</w:t>
      </w:r>
      <w:r>
        <w:rPr>
          <w:sz w:val="28"/>
          <w:szCs w:val="28"/>
        </w:rPr>
        <w:t xml:space="preserve">ог</w:t>
      </w:r>
      <w:r>
        <w:rPr>
          <w:sz w:val="28"/>
          <w:szCs w:val="28"/>
        </w:rPr>
        <w:t xml:space="preserve"> – количество нарушений антимонопольного законодательства со стороны министерства в </w:t>
      </w:r>
      <w:r>
        <w:rPr>
          <w:sz w:val="28"/>
          <w:szCs w:val="28"/>
        </w:rPr>
        <w:t xml:space="preserve">отчетном финансов</w:t>
      </w:r>
      <w:r>
        <w:rPr>
          <w:sz w:val="28"/>
          <w:szCs w:val="28"/>
        </w:rPr>
        <w:t xml:space="preserve"> году;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</w:t>
      </w:r>
      <w:r>
        <w:rPr>
          <w:sz w:val="28"/>
          <w:szCs w:val="28"/>
        </w:rPr>
        <w:t xml:space="preserve">тг</w:t>
      </w:r>
      <w:r>
        <w:rPr>
          <w:sz w:val="28"/>
          <w:szCs w:val="28"/>
        </w:rPr>
        <w:t xml:space="preserve"> – количество нарушений антимонопольного законодательства со стороны министерства в </w:t>
      </w:r>
      <w:r>
        <w:rPr>
          <w:sz w:val="28"/>
          <w:szCs w:val="28"/>
        </w:rPr>
        <w:t xml:space="preserve">текущем финансовом году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</w:t>
      </w:r>
      <w:r>
        <w:rPr>
          <w:sz w:val="28"/>
          <w:szCs w:val="28"/>
        </w:rPr>
        <w:t xml:space="preserve">коэффициента снижения количества нарушений антимонопольного законодательства</w:t>
      </w:r>
      <w:r>
        <w:rPr>
          <w:sz w:val="28"/>
          <w:szCs w:val="28"/>
        </w:rPr>
        <w:t xml:space="preserve"> со стороны министерства под нарушением антимонопольного законодательства со стороны министерства понимаются: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возбужденные антимонопольным органом в отношении министерства антимонопольные дела;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выданные антимонопольным органом министерству предупреждения о прекращении действий (бездей</w:t>
      </w:r>
      <w:r>
        <w:rPr>
          <w:sz w:val="28"/>
          <w:szCs w:val="28"/>
        </w:rPr>
        <w:t xml:space="preserve">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направленные антимонопольным органом министерству предостережения о недопустимости совершения действий, которые могут привести к нарушению антимонопольного законодательства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Доля проектов нормативных правовых актов министерства, в которых выявлены риски нарушения </w:t>
      </w:r>
      <w:r>
        <w:rPr>
          <w:sz w:val="28"/>
          <w:szCs w:val="28"/>
        </w:rPr>
        <w:t xml:space="preserve">антимонопольного</w:t>
      </w:r>
      <w:r>
        <w:rPr>
          <w:sz w:val="28"/>
          <w:szCs w:val="28"/>
        </w:rPr>
        <w:t xml:space="preserve"> законодательства,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EastAsia"/>
          <w:i/>
        </w:rPr>
      </w:pPr>
      <w:r/>
      <m:oMath>
        <m:r>
          <w:rPr>
            <w:rFonts w:ascii="Cambria Math" w:hAnsi="Cambria Math"/>
          </w:rPr>
          <m:rPr/>
          <m:t>Дпнпа=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rPr/>
              <m:t>Кпнпа</m:t>
            </m:r>
          </m:num>
          <m:den>
            <m:r>
              <w:rPr>
                <w:rFonts w:ascii="Cambria Math" w:hAnsi="Cambria Math"/>
              </w:rPr>
              <m:rPr/>
              <m:t>КНтг</m:t>
            </m:r>
          </m:den>
        </m:f>
      </m:oMath>
      <w:r>
        <w:rPr>
          <w:rFonts w:eastAsiaTheme="minorEastAsia"/>
          <w:i/>
        </w:rPr>
        <w:t xml:space="preserve">, где</w:t>
      </w:r>
      <w:r>
        <w:rPr>
          <w:rFonts w:eastAsiaTheme="minorEastAsia"/>
          <w:i/>
        </w:rPr>
      </w:r>
      <w:r>
        <w:rPr>
          <w:rFonts w:eastAsiaTheme="minorEastAsia"/>
          <w:i/>
        </w:rPr>
      </w:r>
    </w:p>
    <w:p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</w:r>
      <w:r>
        <w:rPr>
          <w:i/>
          <w:color w:val="ff0000"/>
        </w:rPr>
      </w:r>
      <w:r>
        <w:rPr>
          <w:i/>
          <w:color w:val="ff0000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Дпнпа</w:t>
      </w:r>
      <w:r>
        <w:rPr>
          <w:sz w:val="28"/>
          <w:szCs w:val="28"/>
        </w:rPr>
        <w:t xml:space="preserve"> – доля проектов нормативных правовых актов министерства, в которых выявлены риски нарушения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Кпнпа</w:t>
      </w:r>
      <w:r>
        <w:rPr>
          <w:sz w:val="28"/>
          <w:szCs w:val="28"/>
        </w:rPr>
        <w:t xml:space="preserve"> – количество проектов нормативных правовых актов министерства, в которых данным органом выявлены риски нарушения антимонопольного законодательства (в отчетном периоде);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КНтг</w:t>
      </w:r>
      <w:r>
        <w:rPr>
          <w:sz w:val="28"/>
          <w:szCs w:val="28"/>
        </w:rPr>
        <w:t xml:space="preserve"> – количество нормативных правовых актов министерства, в которых антимонопольным органом выявлены </w:t>
      </w:r>
      <w:r>
        <w:rPr>
          <w:sz w:val="28"/>
          <w:szCs w:val="28"/>
        </w:rPr>
        <w:t xml:space="preserve">нарушения антимонопольного законодательства (в текущем финансовом году)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</w:t>
      </w:r>
      <w:r>
        <w:rPr>
          <w:sz w:val="28"/>
          <w:szCs w:val="28"/>
        </w:rPr>
        <w:t xml:space="preserve"> Доля нормативных правовых актов министерства, в которых выявлены риски нарушения </w:t>
      </w:r>
      <w:r>
        <w:rPr>
          <w:sz w:val="28"/>
          <w:szCs w:val="28"/>
        </w:rPr>
        <w:t xml:space="preserve">антимонопольного</w:t>
      </w:r>
      <w:r>
        <w:rPr>
          <w:sz w:val="28"/>
          <w:szCs w:val="28"/>
        </w:rPr>
        <w:t xml:space="preserve"> законодательства,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rPr>
          <w:rFonts w:eastAsiaTheme="minorEastAsia"/>
          <w:sz w:val="28"/>
          <w:szCs w:val="28"/>
        </w:rPr>
      </w:pPr>
      <w:r/>
      <m:oMath>
        <m:r>
          <w:rPr>
            <w:rFonts w:ascii="Cambria Math" w:hAnsi="Cambria Math"/>
            <w:sz w:val="28"/>
            <w:szCs w:val="28"/>
          </w:rPr>
          <m:rPr>
            <m:sty m:val="p"/>
          </m:rPr>
          <m:t>Днпа=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rPr>
                <m:sty m:val="p"/>
              </m:rPr>
              <m:t>Кнпа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rPr>
                <m:sty m:val="p"/>
              </m:rPr>
              <m:t>КНтг</m:t>
            </m:r>
          </m:den>
        </m:f>
      </m:oMath>
      <w:r>
        <w:rPr>
          <w:rFonts w:eastAsiaTheme="minorEastAsia"/>
          <w:sz w:val="28"/>
          <w:szCs w:val="28"/>
        </w:rPr>
        <w:t xml:space="preserve">, где</w:t>
      </w:r>
      <w:r>
        <w:rPr>
          <w:rFonts w:eastAsiaTheme="minorEastAsia"/>
          <w:sz w:val="28"/>
          <w:szCs w:val="28"/>
        </w:rPr>
      </w:r>
      <w:r>
        <w:rPr>
          <w:rFonts w:eastAsiaTheme="minorEastAsia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Днпа</w:t>
      </w:r>
      <w:r>
        <w:rPr>
          <w:sz w:val="28"/>
          <w:szCs w:val="28"/>
        </w:rPr>
        <w:t xml:space="preserve"> – доля нормативных правовых актов министерства, в которых выявлены риски нарушения антимонопольного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Кпнпа</w:t>
      </w:r>
      <w:r>
        <w:rPr>
          <w:sz w:val="28"/>
          <w:szCs w:val="28"/>
        </w:rPr>
        <w:t xml:space="preserve"> – количество нормативных правовых актов министерства, в которых данным органом выявлены риски нарушения антимонопольного законодательства (в отчетном периоде);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</w:t>
      </w:r>
      <w:r>
        <w:rPr>
          <w:sz w:val="28"/>
          <w:szCs w:val="28"/>
        </w:rPr>
        <w:t xml:space="preserve">тг</w:t>
      </w:r>
      <w:r>
        <w:rPr>
          <w:sz w:val="28"/>
          <w:szCs w:val="28"/>
        </w:rPr>
        <w:t xml:space="preserve"> – количество нормативных правовых актов министерства, в которых антимонопольным органом выявлены нарушения антимонопольного законодательства (в </w:t>
      </w:r>
      <w:r>
        <w:rPr>
          <w:sz w:val="28"/>
          <w:szCs w:val="28"/>
        </w:rPr>
        <w:t xml:space="preserve">текущем финансовом году)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Методика расчета ключевых показателей эффективности функционирования антимонопольного комплаенса для уполномоченного подразделения (должностного лица)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уполномоченного подразделения (должностного лица) рассчитываются следующий КПЭ: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сотрудников мнистерства, в отношении которых были проведены обучающие мероприятия по антимонопольному законодательству и антимонопольному комплаенсу.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Доля сотрудников министерства, с которыми были проведены обучающие мероприятия по антимонопольному законодательству и антимонопольному комплаенсу, рассчитывается по формуле: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Theme="minorEastAsia"/>
          <w:i/>
          <w:sz w:val="28"/>
          <w:szCs w:val="28"/>
        </w:rPr>
      </w:pPr>
      <w:r>
        <w:rPr>
          <w:sz w:val="28"/>
          <w:szCs w:val="28"/>
        </w:rPr>
      </w:r>
      <m:oMath>
        <m:r>
          <w:rPr>
            <w:rFonts w:ascii="Cambria Math" w:hAnsi="Cambria Math"/>
            <w:sz w:val="28"/>
            <w:szCs w:val="28"/>
          </w:rPr>
          <m:rPr/>
          <m:t>ДСо=</m:t>
        </m:r>
        <m:f>
          <m:fPr>
            <m:ctrlPr>
              <w:rPr>
                <w:rFonts w:ascii="Cambria Math" w:hAnsi="Cambria Math" w:eastAsia="Cambria Math" w:cs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rPr/>
              <m:t>КСо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rPr/>
              <m:t>КСобщ</m:t>
            </m:r>
          </m:den>
        </m:f>
      </m:oMath>
      <w:r>
        <w:rPr>
          <w:rFonts w:eastAsiaTheme="minorEastAsia"/>
          <w:i/>
          <w:sz w:val="28"/>
          <w:szCs w:val="28"/>
        </w:rPr>
        <w:t xml:space="preserve">, где</w:t>
      </w:r>
      <w:r>
        <w:rPr>
          <w:rFonts w:eastAsiaTheme="minorEastAsia"/>
          <w:i/>
          <w:sz w:val="28"/>
          <w:szCs w:val="28"/>
        </w:rPr>
      </w:r>
      <w:r>
        <w:rPr>
          <w:rFonts w:eastAsiaTheme="minorEastAsia"/>
          <w:i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ДСо – доля сотрудников министерства, с которыми были проведены обучающие мероприятия по антимонопольному законодательству и антимонопольному комплаенсу;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КСо – количество сотрудников министерства, с которыми были проведены обучающие мероприятия по антимонопольному законодательству и антимонопольному комплаенсу;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КСобщ – общее количество сотрудников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 Оценка значений КПЭ для министерства культуры Липецкой области в целом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КПЭ для уполномоченного подразделения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(должностного лица)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Оценка значений КПЭ «коэффициент снижения количества нарушений антимонопольного законодательства со стороны министерства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сравнению с отчетным финансовым годом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Ежегодная оценка значения КПЭ «коэффициент снижения количества нарушений антимонопольного законодательства со стороны министерства </w:t>
      </w:r>
      <w:r>
        <w:rPr>
          <w:sz w:val="28"/>
          <w:szCs w:val="28"/>
        </w:rPr>
        <w:t xml:space="preserve">(по сравнению с отчетным финансовым годом) призвана обеспечить понимание об эффективности функционирования антимонопольного комплаенса в </w:t>
      </w:r>
      <w:r>
        <w:rPr>
          <w:sz w:val="28"/>
          <w:szCs w:val="28"/>
        </w:rPr>
        <w:t xml:space="preserve">министерстве</w:t>
      </w:r>
      <w:r>
        <w:rPr>
          <w:sz w:val="28"/>
          <w:szCs w:val="28"/>
        </w:rPr>
        <w:t xml:space="preserve"> и о соответствии мероприятий антимонопольного комплаенса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направлениям совершенствования государственной политики по развитию конкуренции, установленных Национальным планом.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Оценка значений КПЭ «доля проектов нормативных правовых актов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в которых выявлены риски нарушения антимонопольного законодательства» и «доля нормативных правовых актов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, в которых выявлены риски нарушения антимонопольного законодательства».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вышеуказанных значений КПЭ направлена на понимание эффективности мероприятий антимонопольного комплаенса, предусмотренных </w:t>
      </w:r>
      <w:r>
        <w:rPr>
          <w:sz w:val="28"/>
          <w:szCs w:val="28"/>
        </w:rPr>
        <w:t xml:space="preserve">в раздел 3 Положения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эффективном проведении мероприятий по анализу нормативных правовых актов министерства</w:t>
      </w:r>
      <w:r>
        <w:rPr>
          <w:sz w:val="28"/>
          <w:szCs w:val="28"/>
        </w:rPr>
        <w:t xml:space="preserve"> и их проектов на предмет выявления заложенных в них рисков нарушени</w:t>
      </w:r>
      <w:r>
        <w:rPr>
          <w:sz w:val="28"/>
          <w:szCs w:val="28"/>
        </w:rPr>
        <w:t xml:space="preserve">я антимонопольного законодательства (то есть, при высоком значении числителя) должно наблюдаться уменьшение нормативных правовых актов, в отношении которых антимонопольным органом выявлены нарушения антимонопольного законодательства (то есть, низкое значен</w:t>
      </w:r>
      <w:r>
        <w:rPr>
          <w:sz w:val="28"/>
          <w:szCs w:val="28"/>
        </w:rPr>
        <w:t xml:space="preserve">ие знаменателя). Таким образом, значение КПЭ будет тем выше, чем эффективней данные мероприятия антимонопольного комплаенса будут осуществляться уполномоченным подразделением (должностным лицом). И наоборот, при невысоком значении долей нормативных правовы</w:t>
      </w:r>
      <w:r>
        <w:rPr>
          <w:sz w:val="28"/>
          <w:szCs w:val="28"/>
        </w:rPr>
        <w:t xml:space="preserve">х актов и их проектов (числитель) наряду с высоким количеством выявленых антимонопольным органом нарушений антимонопольного законодательства в таких актах (знаменатель), низкие значения КПЭ будут свидетельствовать о низкой эффективности данных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Оценка значения КПЭ «сотрудников министерства</w:t>
      </w:r>
      <w:r>
        <w:rPr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комплаенсу</w:t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и обучение служащих министерства</w:t>
      </w:r>
      <w:r>
        <w:rPr>
          <w:sz w:val="28"/>
          <w:szCs w:val="28"/>
        </w:rPr>
        <w:t xml:space="preserve"> по вопросам, связан</w:t>
      </w:r>
      <w:r>
        <w:rPr>
          <w:sz w:val="28"/>
          <w:szCs w:val="28"/>
        </w:rPr>
        <w:t xml:space="preserve">ным с соблюдением антимонопольного законодательства и антимонопольным комплаенсом, отнесено к компетенции уполномоченного подразделения (должностного лица), и направлено на профилактику нарушений требований антимонопольного законодательства в деятельности </w:t>
      </w:r>
      <w:r>
        <w:rPr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Расчет данного показателя предусматривает определение сотрудников </w:t>
      </w:r>
      <w:r>
        <w:rPr>
          <w:color w:val="000000" w:themeColor="text1"/>
          <w:sz w:val="28"/>
          <w:szCs w:val="28"/>
        </w:rPr>
        <w:t xml:space="preserve">министерства</w:t>
      </w:r>
      <w:r>
        <w:rPr>
          <w:color w:val="000000" w:themeColor="text1"/>
          <w:sz w:val="28"/>
          <w:szCs w:val="28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и </w:t>
      </w:r>
      <w:r>
        <w:rPr>
          <w:color w:val="000000" w:themeColor="text1"/>
          <w:sz w:val="28"/>
          <w:szCs w:val="28"/>
        </w:rPr>
        <w:t xml:space="preserve">определение из их числа количества сотрудников, с которыми были проведены обучающие мероприятия по антимонопольному законодательству и антимонопольному комплаенсу. Высокое значение количества сотрудников, с которыми были проведены обучающие мероприятия по </w:t>
      </w:r>
      <w:r>
        <w:rPr>
          <w:color w:val="000000" w:themeColor="text1"/>
          <w:sz w:val="28"/>
          <w:szCs w:val="28"/>
        </w:rPr>
        <w:t xml:space="preserve">антимонопольному законодательству и антимонопольному комплаенсу (числитель), обеспечивает высокое значение КПЭ.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693"/>
        <w:gridCol w:w="4394"/>
      </w:tblGrid>
      <w:tr>
        <w:tblPrEx/>
        <w:trPr/>
        <w:tc>
          <w:tcPr>
            <w:shd w:val="clear" w:color="ffffff" w:fill="ffffff"/>
            <w:tcW w:w="2660" w:type="dxa"/>
            <w:textDirection w:val="lrTb"/>
            <w:noWrap w:val="false"/>
          </w:tcPr>
          <w:p>
            <w:pPr>
              <w:jc w:val="both"/>
            </w:pPr>
            <w:r/>
            <w:r/>
          </w:p>
        </w:tc>
        <w:tc>
          <w:tcPr>
            <w:shd w:val="clear" w:color="ffffff" w:fill="ffffff"/>
            <w:tcW w:w="2693" w:type="dxa"/>
            <w:textDirection w:val="lrTb"/>
            <w:noWrap w:val="false"/>
          </w:tcPr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  <w:p>
            <w:pPr>
              <w:jc w:val="both"/>
            </w:pPr>
            <w:r/>
            <w:r/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bCs/>
          <w:highlight w:val="yellow"/>
        </w:rPr>
      </w:pPr>
      <w:r>
        <w:rPr>
          <w:bCs/>
          <w:highlight w:val="yellow"/>
        </w:rPr>
      </w:r>
      <w:r>
        <w:rPr>
          <w:bCs/>
          <w:highlight w:val="yellow"/>
        </w:rPr>
      </w:r>
      <w:r>
        <w:rPr>
          <w:bCs/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ОЗНАКОМЛЕНИЯ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государственных гражданских служащих 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министерства культуры </w:t>
      </w:r>
      <w:r>
        <w:rPr>
          <w:sz w:val="28"/>
          <w:szCs w:val="28"/>
          <w:lang w:eastAsia="ar-SA"/>
        </w:rPr>
        <w:t xml:space="preserve">Липецкой области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 xml:space="preserve">приказом «О</w:t>
      </w:r>
      <w:r>
        <w:rPr>
          <w:sz w:val="28"/>
          <w:szCs w:val="28"/>
          <w:lang w:eastAsia="ar-SA"/>
        </w:rPr>
        <w:t xml:space="preserve">б организации системы внутреннего обеспечения соответствия требованиям антимонопольного законодательства</w:t>
      </w:r>
      <w:r>
        <w:rPr>
          <w:sz w:val="28"/>
          <w:szCs w:val="28"/>
          <w:lang w:eastAsia="ar-SA"/>
        </w:rPr>
        <w:t xml:space="preserve"> в министерстве культуры Липецкой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tbl>
      <w:tblPr>
        <w:tblStyle w:val="850"/>
        <w:tblW w:w="0" w:type="auto"/>
        <w:tblLook w:val="04A0" w:firstRow="1" w:lastRow="0" w:firstColumn="1" w:lastColumn="0" w:noHBand="0" w:noVBand="1"/>
      </w:tblPr>
      <w:tblGrid>
        <w:gridCol w:w="560"/>
        <w:gridCol w:w="2360"/>
        <w:gridCol w:w="3385"/>
        <w:gridCol w:w="1553"/>
        <w:gridCol w:w="1825"/>
      </w:tblGrid>
      <w:tr>
        <w:tblPrEx/>
        <w:trPr/>
        <w:tc>
          <w:tcPr>
            <w:tcW w:w="49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  <w:t xml:space="preserve">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Подпись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49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360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  <w:tc>
          <w:tcPr>
            <w:tcW w:w="338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3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25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center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ο"/>
      <w:lvlJc w:val="left"/>
      <w:pPr>
        <w:ind w:left="709" w:hanging="360"/>
        <w:tabs>
          <w:tab w:val="num" w:pos="0" w:leader="none"/>
        </w:tabs>
      </w:pPr>
      <w:rPr>
        <w:rFonts w:hint="default" w:ascii="Courier New" w:hAnsi="Courier New" w:cs="Courier New"/>
        <w:b/>
        <w:i w:val="0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858" w:hanging="432"/>
      </w:pPr>
      <w:rPr>
        <w:rFonts w:cs="Times New Roman"/>
        <w:strike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40"/>
    <w:link w:val="839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8"/>
    <w:next w:val="838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basedOn w:val="840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8"/>
    <w:next w:val="838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basedOn w:val="840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8"/>
    <w:next w:val="838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8"/>
    <w:next w:val="838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8"/>
    <w:next w:val="838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List Paragraph"/>
    <w:basedOn w:val="838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character" w:styleId="683">
    <w:name w:val="Title Char"/>
    <w:basedOn w:val="840"/>
    <w:link w:val="844"/>
    <w:uiPriority w:val="10"/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40"/>
    <w:link w:val="684"/>
    <w:uiPriority w:val="11"/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40"/>
    <w:link w:val="690"/>
    <w:uiPriority w:val="99"/>
  </w:style>
  <w:style w:type="paragraph" w:styleId="692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40"/>
    <w:link w:val="692"/>
    <w:uiPriority w:val="99"/>
  </w:style>
  <w:style w:type="character" w:styleId="694">
    <w:name w:val="Caption Char"/>
    <w:basedOn w:val="840"/>
    <w:link w:val="847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0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0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Heading 1"/>
    <w:basedOn w:val="838"/>
    <w:next w:val="838"/>
    <w:link w:val="843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character" w:styleId="843" w:customStyle="1">
    <w:name w:val="Заголовок 1 Знак"/>
    <w:basedOn w:val="840"/>
    <w:link w:val="83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44">
    <w:name w:val="Title"/>
    <w:basedOn w:val="838"/>
    <w:next w:val="845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45">
    <w:name w:val="Body Text"/>
    <w:basedOn w:val="838"/>
    <w:pPr>
      <w:spacing w:after="140" w:line="276" w:lineRule="auto"/>
    </w:pPr>
  </w:style>
  <w:style w:type="paragraph" w:styleId="846">
    <w:name w:val="List"/>
    <w:basedOn w:val="845"/>
    <w:rPr>
      <w:rFonts w:cs="Noto Sans Devanagari"/>
    </w:rPr>
  </w:style>
  <w:style w:type="paragraph" w:styleId="847">
    <w:name w:val="Caption"/>
    <w:basedOn w:val="838"/>
    <w:link w:val="694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48">
    <w:name w:val="index heading"/>
    <w:basedOn w:val="838"/>
    <w:qFormat/>
    <w:pPr>
      <w:suppressLineNumbers/>
    </w:pPr>
    <w:rPr>
      <w:rFonts w:cs="Noto Sans Devanagari"/>
    </w:rPr>
  </w:style>
  <w:style w:type="numbering" w:styleId="849" w:customStyle="1">
    <w:name w:val="Без списка"/>
    <w:uiPriority w:val="99"/>
    <w:semiHidden/>
    <w:unhideWhenUsed/>
    <w:qFormat/>
  </w:style>
  <w:style w:type="table" w:styleId="850">
    <w:name w:val="Table Grid"/>
    <w:basedOn w:val="84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 w:customStyle="1">
    <w:name w:val="Сетка таблицы1"/>
    <w:basedOn w:val="84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Основной текст1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54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21</cp:revision>
  <dcterms:created xsi:type="dcterms:W3CDTF">2025-01-28T15:45:00Z</dcterms:created>
  <dcterms:modified xsi:type="dcterms:W3CDTF">2025-07-30T06:52:03Z</dcterms:modified>
</cp:coreProperties>
</file>