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right="-427"/>
      </w:pPr>
      <w:r/>
      <w:r/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  <w:r>
        <w:rPr>
          <w:b/>
        </w:rPr>
      </w:r>
    </w:p>
    <w:p>
      <w:pPr>
        <w:pStyle w:val="835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5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 Р И К А З</w:t>
      </w:r>
      <w:r>
        <w:rPr>
          <w:b w:val="0"/>
          <w:sz w:val="30"/>
          <w:szCs w:val="30"/>
        </w:rPr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46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blPrEx/>
        <w:trPr>
          <w:trHeight w:val="3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contextualSpacing/>
              <w:ind w:right="-88"/>
              <w:jc w:val="righ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3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right="849"/>
        <w:jc w:val="center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8"/>
        <w:ind w:right="4110" w:firstLine="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утверждении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орядка проведения оценки последствий решения о 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ценке последствий такого решения и подготовки ею заключений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частями 3, 4 статьи </w:t>
      </w:r>
      <w:hyperlink r:id="rId10" w:tooltip="https://login.consultant.ru/link/?req=doc&amp;base=LAW&amp;n=499648&amp;dst=295&amp;field=134&amp;date=12.11.2025" w:history="1">
        <w:r>
          <w:rPr>
            <w:rStyle w:val="81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41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Закона Российской Федерации от 9 октября 1992 года № 3612-1 «Основы законодательства Российской Федерации о культуре»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оценки последствий решения о 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ценке последствий такого решения и подготовки ею заключений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99"/>
        <w:gridCol w:w="5446"/>
      </w:tblGrid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tabs>
                <w:tab w:val="left" w:pos="5373" w:leader="none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445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tabs>
          <w:tab w:val="left" w:pos="4363" w:leader="none"/>
          <w:tab w:val="left" w:pos="537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blPrEx/>
        <w:trPr>
          <w:trHeight w:val="13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bottom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И.о.министра</w:t>
            </w:r>
            <w:r>
              <w:rPr>
                <w:sz w:val="28"/>
                <w:szCs w:val="28"/>
              </w:rPr>
              <w:t xml:space="preserve"> культуры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r/>
            <w:bookmarkStart w:id="1" w:name="SIGNERSTAMP1"/>
            <w:r/>
            <w:bookmarkEnd w:id="1"/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Я.В. Тонких</w:t>
            </w:r>
            <w:r>
              <w:rPr>
                <w:rFonts w:ascii="Times New Roman CYR" w:hAnsi="Times New Roman CYR"/>
                <w:sz w:val="28"/>
                <w:szCs w:val="28"/>
              </w:rPr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pStyle w:val="835"/>
        <w:contextualSpacing/>
        <w:ind w:left="0" w:right="1"/>
        <w:jc w:val="right"/>
        <w:spacing w:before="0" w:after="0"/>
        <w:rPr>
          <w:b w:val="0"/>
          <w:bCs w:val="0"/>
          <w:spacing w:val="-10"/>
          <w:sz w:val="28"/>
          <w:szCs w:val="28"/>
          <w:highlight w:val="none"/>
        </w:rPr>
      </w:pPr>
      <w:r>
        <w:rPr>
          <w:b w:val="0"/>
          <w:bCs w:val="0"/>
          <w:spacing w:val="-10"/>
          <w:sz w:val="28"/>
          <w:szCs w:val="28"/>
        </w:rPr>
        <w:t xml:space="preserve">Приложение</w:t>
      </w:r>
      <w:r>
        <w:rPr>
          <w:b w:val="0"/>
          <w:bCs w:val="0"/>
          <w:spacing w:val="-10"/>
          <w:sz w:val="28"/>
          <w:szCs w:val="28"/>
          <w:highlight w:val="none"/>
        </w:rPr>
      </w:r>
      <w:r>
        <w:rPr>
          <w:b w:val="0"/>
          <w:bCs w:val="0"/>
          <w:spacing w:val="-10"/>
          <w:sz w:val="28"/>
          <w:szCs w:val="28"/>
          <w:highlight w:val="none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культуры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Липецкой области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none"/>
        </w:rPr>
        <w:t xml:space="preserve">Об утверждении Порядка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оценки последствий решения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 реорганизации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ликвидации организации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культуры,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находящейся в ведении Липецкой области,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(или) муниципальной организации культуры,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включая критерии этой оценки, </w:t>
      </w:r>
      <w:r>
        <w:rPr>
          <w:sz w:val="28"/>
          <w:szCs w:val="28"/>
          <w:highlight w:val="none"/>
        </w:rPr>
        <w:t xml:space="preserve">порядок создания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комиссии по оценке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последствий такого решения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 подготовки ею заключений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right="4110" w:firstLine="540"/>
        <w:jc w:val="right"/>
        <w:spacing w:before="0" w:beforeAutospacing="0" w:after="0" w:afterAutospacing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Порядок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проведения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оценки последствий решения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 реорганизации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или ликвидации организации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культуры,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находящейся в ведении Липецкой области,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(или) муниципальной организации культуры,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включая критерии этой оценки, </w:t>
      </w:r>
      <w:r>
        <w:rPr>
          <w:b/>
          <w:bCs/>
          <w:sz w:val="28"/>
          <w:szCs w:val="28"/>
          <w:highlight w:val="none"/>
        </w:rPr>
        <w:t xml:space="preserve">порядок создания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комиссии по оценке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последствий такого решения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и подготовки ею заключени</w:t>
      </w:r>
      <w:r>
        <w:rPr>
          <w:b/>
          <w:bCs/>
          <w:sz w:val="28"/>
          <w:szCs w:val="28"/>
          <w:highlight w:val="none"/>
        </w:rPr>
        <w:t xml:space="preserve">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процедуру проведения оценки последствий принятия решения о реорганизации или ликвидации областной организации культуры, муниципальной </w:t>
      </w:r>
      <w:r>
        <w:rPr>
          <w:sz w:val="28"/>
          <w:szCs w:val="28"/>
        </w:rPr>
        <w:t xml:space="preserve">организации культуры в Липецкой области (далее – организация культуры), включая критерии этой оценки</w:t>
      </w:r>
      <w:r>
        <w:rPr>
          <w:sz w:val="24"/>
        </w:rPr>
        <w:t xml:space="preserve">, </w:t>
      </w:r>
      <w:r>
        <w:rPr>
          <w:sz w:val="28"/>
          <w:szCs w:val="28"/>
        </w:rPr>
        <w:t xml:space="preserve">а также процедуру создания комиссии по оценке последствий такого решения и подготовки ею заключений.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 Проведение оценки последствий принятия решения о реорганизации или ликвидации организации культуры осуществляется в целях обеспечения государственных гарантий прав граждан </w:t>
      </w:r>
      <w:r>
        <w:rPr>
          <w:i w:val="0"/>
          <w:iCs w:val="0"/>
          <w:sz w:val="28"/>
          <w:szCs w:val="28"/>
        </w:rPr>
        <w:t xml:space="preserve">на участие в культурной жизни</w:t>
      </w:r>
      <w:r>
        <w:rPr>
          <w:sz w:val="28"/>
          <w:szCs w:val="28"/>
        </w:rPr>
        <w:t xml:space="preserve"> и создание условий для реализации права</w:t>
      </w:r>
      <w:r>
        <w:rPr>
          <w:sz w:val="24"/>
        </w:rPr>
        <w:t xml:space="preserve"> </w:t>
      </w:r>
      <w:r>
        <w:rPr>
          <w:i w:val="0"/>
          <w:iCs w:val="0"/>
          <w:sz w:val="28"/>
          <w:szCs w:val="28"/>
        </w:rPr>
        <w:t xml:space="preserve">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доступ к культурным ценностям</w:t>
      </w:r>
      <w:r>
        <w:rPr>
          <w:i w:val="0"/>
          <w:iCs w:val="0"/>
          <w:sz w:val="28"/>
          <w:szCs w:val="28"/>
        </w:rPr>
        <w:t xml:space="preserve">.</w:t>
      </w: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1.3. Оценка последствий принятия решения о реорганизации или ликвидаци</w:t>
      </w:r>
      <w:r>
        <w:rPr>
          <w:sz w:val="28"/>
          <w:szCs w:val="28"/>
        </w:rPr>
        <w:t xml:space="preserve">и организации культуры осуществляется по следующим критериям: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соблюдение нормативов и норм оптимального размещения организаций культуры и обеспеченности населения услугами организаций культуры в соответствии с методическими </w:t>
      </w:r>
      <w:hyperlink r:id="rId11" w:tooltip="https://login.consultant.ru/link/?req=doc&amp;base=LAW&amp;n=460760&amp;dst=100010&amp;field=134&amp;date=12.11.2025" w:history="1">
        <w:r>
          <w:rPr>
            <w:rStyle w:val="81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рекомендациями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 Министерства культуры Российской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Федерации от 23 октября 2023 года № Р-2879;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сохранение объема услуг в сфере культуры, предоставляемых гражданам реорганизуемой или ликвидируемой государственной организацией культуры, муниципальной организацией культуры;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минимизация возможных социальных рисков в отношении работников реорганизуемой или ликвидируемой государственной организации культуры, муниципальной организации культуры в целях обеспечения государственных гарантий трудовых прав и свобод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реорганизации или ликвидации муниципальной организации культуры, расположенной в сельском поселении, критерием оценки последствий решения о ее реорганизации или ликвидации является также учет мнения жителей данного сельского поселения.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Порядок создания и работы комиссии по оценке последствий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принятия решения о реорганизации или ликвидации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проведения оценки последствий принятия решения о реорганизации или ликвидации организации культуры и подготовки </w:t>
      </w:r>
      <w:hyperlink w:tooltip="                                Заключение" w:anchor="P132" w:history="1">
        <w:r>
          <w:rPr>
            <w:color w:val="000000" w:themeColor="text1"/>
            <w:sz w:val="28"/>
            <w:szCs w:val="28"/>
          </w:rPr>
          <w:t xml:space="preserve">заключения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приложению к настоящему Порядку, являющегося основанием для принятия такого решения, создается комиссия по оценке последствий принятия решения о реорганизации или ликвидации организации культуры.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Проведение оценки последствий принятия решения о реорганизации или ликвидации  организации культуры осуществляется комиссией, создаваемой исполнительным органом Липецкой области в сфере культуры</w:t>
      </w:r>
      <w:r>
        <w:rPr>
          <w:sz w:val="28"/>
          <w:szCs w:val="28"/>
        </w:rPr>
        <w:t xml:space="preserve">, осуществляющим функции и</w:t>
      </w:r>
      <w:r>
        <w:rPr>
          <w:sz w:val="28"/>
          <w:szCs w:val="28"/>
        </w:rPr>
        <w:t xml:space="preserve"> полномочия учредителя организации культуры, - при принятии решения о реорганизации или ликвидации областной государственной организации культуры</w:t>
      </w:r>
      <w:r>
        <w:rPr>
          <w:sz w:val="28"/>
          <w:szCs w:val="28"/>
        </w:rPr>
        <w:t xml:space="preserve">, либо комиссией, создаваемой органом местного самоуправления муниципального района или городског</w:t>
      </w:r>
      <w:r>
        <w:rPr>
          <w:sz w:val="28"/>
          <w:szCs w:val="28"/>
        </w:rPr>
        <w:t xml:space="preserve">о округа в Липецкой области, осуществляющим функции и полномочия учредителя муниципальной организации культуры, - при принятии решения о ее реорганизации или ликвидации муниципальной организации культуры в Липецкой области (далее - комиссия).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2.2. Состав комиссии у</w:t>
      </w:r>
      <w:r>
        <w:rPr>
          <w:sz w:val="28"/>
          <w:szCs w:val="28"/>
        </w:rPr>
        <w:t xml:space="preserve">тверждается соответственно правовым актом исполнительного органа Липецкой области в сфере культуры и органа местного самоуправления муниципального района (округа) или городского округа в Липецкой области, осуществляющего функции и полномочия учредителя.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2.3. В состав комиссии входят представители исполнительного органа Липецкой области в сфер</w:t>
      </w:r>
      <w:r>
        <w:rPr>
          <w:sz w:val="28"/>
          <w:szCs w:val="28"/>
        </w:rPr>
        <w:t xml:space="preserve">е культуры, органа местного самоуправления соответствующего городского округа или муниципального района (округа), общественных объединений и организаций, осуществляющих деятельность в сфере культуры, а также представители </w:t>
      </w:r>
      <w:r>
        <w:rPr>
          <w:sz w:val="28"/>
          <w:szCs w:val="28"/>
        </w:rPr>
        <w:t xml:space="preserve">организаций культуры.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2.4. В своей деятельности комиссия руководствуется принципами законности, равноправия всех ее членов и гласности. Работа в комиссии осуществляется на безвозмездной основе.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2.5. Комиссию возглавляет председатель, который осуществля</w:t>
      </w:r>
      <w:r>
        <w:rPr>
          <w:sz w:val="28"/>
          <w:szCs w:val="28"/>
        </w:rPr>
        <w:t xml:space="preserve">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областной комиссии. В отсутствие председателя его функции исполняет заместитель председателя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2.6. Количество членов комиссии составляет семь человек, включая председателя комиссии и секретаря. Заседание комиссии является правомочным, если на нем присутствует не менее 2/3 от общего числа ее членов.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2.7. Секретарь комиссии осуществляет организационную и техническую работу по подготовке и проведению заседаний комиссии, осуществляет проверку представляемых на рассмотрение комиссии документов и материалов, ведет протоколы заседаний.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2.8. Для проведения оценки последствий принятия решения о реорганизации или ликвидации организации культуры орган, осущ</w:t>
      </w:r>
      <w:r>
        <w:rPr>
          <w:sz w:val="28"/>
          <w:szCs w:val="28"/>
        </w:rPr>
        <w:t xml:space="preserve">ествляющий функции и полномочия учредителя организации культуры, направляет в адрес председателя комиссии письменное заявление о проведении оценки последствий принятия решения о реорганизации или ликвидации организации культуры с приложением: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1) пояснительной записки, содержащей: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организации культуры, адрес места нахождения, основные цели 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обоснование целесообразности реорганизации или ликвидации организации культуры;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финансово-экономическое обоснование предлагаемых изменений;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оценку социально-экономических последствий реорганизации или ликвидации организации культуры;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2) рекомендаций наблюдательного совета организации культуры (для автономных организаций)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3) информацию о мнении жителей сельского поселения с указанием способа получения данной инф</w:t>
      </w:r>
      <w:r>
        <w:rPr>
          <w:sz w:val="28"/>
          <w:szCs w:val="28"/>
        </w:rPr>
        <w:t xml:space="preserve">ормации, общего количества граждан, проживающих в сельском поселении, на территории которого находится учреждение культуры, количества жителей, выразивших свое мнение (положительное или отрицательное) относительно данного вопроса.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Указанные документы заверяются подписью и печатью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2.9. Оценка последствий принятия решения о реорганизации или ликвидации организации культуры осуществляется комиссией исходя из критериев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указанных в пункте 1.3 настоящего Порядка в значениях «обеспечено», «не обеспечено».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2.10. При не</w:t>
      </w:r>
      <w:r>
        <w:rPr>
          <w:sz w:val="28"/>
          <w:szCs w:val="28"/>
        </w:rPr>
        <w:t xml:space="preserve">обходимости комиссия запрашивает в государственных органах, органах местного самоуправления, организациях культуры информацию, необходимую для проведения оценки последствий принятия решения о реорганизации или ликвидации организации культуры.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2.11. Решения комиссии принимаются простым большинством голосов присутствующих на заседании членов комиссии. Голосование проводится в открытом режиме.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 комиссии оформляются протоколом, который подписывается председателем либо (в его отсутствие) заместителем председателя и секретарем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2.12. Н</w:t>
      </w:r>
      <w:r>
        <w:rPr>
          <w:sz w:val="28"/>
          <w:szCs w:val="28"/>
        </w:rPr>
        <w:t xml:space="preserve">а основании протокола заседания комиссия готовит заключение последствий принятия решения о реорганизации или ликвидации образовательной организации с выводом о целесообразности либо нецелесообразности принятия соответствующего решения (далее - заключение).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Заключение подписывается председателем комиссии, всеми членами комиссии, принимавшими участие в заседании.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2.13. Заключение направляется в орган, осуществляющий функции и полномочия учредителя организации культуры, в течение 7 рабочих дней со дня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4"/>
        <w:jc w:val="right"/>
        <w:rPr>
          <w:sz w:val="28"/>
          <w:szCs w:val="28"/>
          <w:highlight w:val="none"/>
        </w:rPr>
      </w:pPr>
      <w:r>
        <w:rPr>
          <w:sz w:val="24"/>
        </w:rPr>
        <w:t xml:space="preserve">к </w:t>
      </w:r>
      <w:r>
        <w:rPr>
          <w:sz w:val="28"/>
          <w:szCs w:val="28"/>
          <w:highlight w:val="none"/>
        </w:rPr>
        <w:t xml:space="preserve">Порядку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оценки последствий решения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 реорганизации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ликвидации организации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культуры,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находящейся в ведении Липецкой области,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(или) муниципальной организации культуры,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включая критерии этой оценки, </w:t>
      </w:r>
      <w:r>
        <w:rPr>
          <w:sz w:val="28"/>
          <w:szCs w:val="28"/>
          <w:highlight w:val="none"/>
        </w:rPr>
        <w:t xml:space="preserve">порядок создания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комиссии по оценке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последствий такого решения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 подготовки ею заключений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center"/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pStyle w:val="8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bookmarkStart w:id="132" w:name="P132"/>
      <w:r>
        <w:rPr>
          <w:rFonts w:ascii="Times New Roman" w:hAnsi="Times New Roman" w:eastAsia="Times New Roman" w:cs="Times New Roman"/>
          <w:sz w:val="24"/>
          <w:szCs w:val="24"/>
        </w:rPr>
      </w:r>
      <w:bookmarkEnd w:id="132"/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последствий принятия решения о реорганизации (ликвидации)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организации культуры)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«____» ____________ 20__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  по  оценке  последствий  принятия  решения  о  реорганизации  или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ликвидации  государственных или муниципальных организаций культуры 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Председатель комиссии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Заместитель председателя комиссии 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Секретарь комиссии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Члены комиссии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 соответствии с Порядком проведения оценки последствий принятия решения 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реорганизации  или  ликвидации  организации культуры, находящейся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ведении Липецкой   области,  муниципальной организации культуры,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включая критерии этой оценки (по типам данных организаций культуры),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порядком   создания   комиссии  по  оценке  последствий  такого  решения 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подготовки ею заключений от «__» _____________ 20__ года № ___, рассмотрев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 о проведении оценки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(инициатор реорганизации или ликвидации организации культуры)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   представленные  документы  и  материалы,  подтверждающие  эффективность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реорганизации  или  ликвидации организации культуры, установила, что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реорганизации (ликвидации) организации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(анализ возможных последствий принятия соответствующего решения)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проведенной оценки комиссия решила: 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(выводы о целесообразности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либо нецелесообразности)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Председатель комиссии: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Члены комиссии: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 CYR">
    <w:panose1 w:val="020206030504050203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4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character" w:styleId="679">
    <w:name w:val="Title Char"/>
    <w:basedOn w:val="836"/>
    <w:link w:val="840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character" w:styleId="690">
    <w:name w:val="Caption Char"/>
    <w:basedOn w:val="836"/>
    <w:link w:val="843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5">
    <w:name w:val="Heading 1"/>
    <w:basedOn w:val="834"/>
    <w:next w:val="834"/>
    <w:link w:val="839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Заголовок 1 Знак"/>
    <w:basedOn w:val="836"/>
    <w:link w:val="835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40">
    <w:name w:val="Title"/>
    <w:basedOn w:val="834"/>
    <w:next w:val="841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841">
    <w:name w:val="Body Text"/>
    <w:basedOn w:val="834"/>
    <w:pPr>
      <w:spacing w:after="140" w:line="276" w:lineRule="auto"/>
    </w:pPr>
  </w:style>
  <w:style w:type="paragraph" w:styleId="842">
    <w:name w:val="List"/>
    <w:basedOn w:val="841"/>
    <w:rPr>
      <w:rFonts w:cs="Noto Sans Devanagari"/>
    </w:rPr>
  </w:style>
  <w:style w:type="paragraph" w:styleId="843">
    <w:name w:val="Caption"/>
    <w:basedOn w:val="834"/>
    <w:link w:val="690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44">
    <w:name w:val="index heading"/>
    <w:basedOn w:val="834"/>
    <w:qFormat/>
    <w:pPr>
      <w:suppressLineNumbers/>
    </w:pPr>
    <w:rPr>
      <w:rFonts w:cs="Noto Sans Devanagari"/>
    </w:rPr>
  </w:style>
  <w:style w:type="numbering" w:styleId="845" w:customStyle="1">
    <w:name w:val="Без списка"/>
    <w:uiPriority w:val="99"/>
    <w:semiHidden/>
    <w:unhideWhenUsed/>
    <w:qFormat/>
  </w:style>
  <w:style w:type="table" w:styleId="846">
    <w:name w:val="Table Grid"/>
    <w:basedOn w:val="83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7" w:customStyle="1">
    <w:name w:val="Сетка таблицы1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8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Основной текст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50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9648&amp;dst=295&amp;field=134&amp;date=12.11.2025" TargetMode="External"/><Relationship Id="rId11" Type="http://schemas.openxmlformats.org/officeDocument/2006/relationships/hyperlink" Target="https://login.consultant.ru/link/?req=doc&amp;base=LAW&amp;n=460760&amp;dst=100010&amp;field=134&amp;date=12.1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22</cp:revision>
  <dcterms:created xsi:type="dcterms:W3CDTF">2025-01-28T15:45:00Z</dcterms:created>
  <dcterms:modified xsi:type="dcterms:W3CDTF">2025-11-18T08:56:51Z</dcterms:modified>
</cp:coreProperties>
</file>