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оценке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функционирования в министерстве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Липецкой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от 22 </w:t>
      </w:r>
      <w:r>
        <w:rPr>
          <w:rFonts w:ascii="Times New Roman" w:hAnsi="Times New Roman" w:cs="Times New Roman"/>
          <w:sz w:val="28"/>
          <w:szCs w:val="28"/>
        </w:rPr>
        <w:t xml:space="preserve">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ДОКЛАД 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</w:t>
      </w:r>
      <w:r>
        <w:rPr>
          <w:rFonts w:ascii="Times New Roman" w:hAnsi="Times New Roman" w:cs="Times New Roman"/>
          <w:b/>
          <w:sz w:val="36"/>
          <w:szCs w:val="36"/>
        </w:rPr>
        <w:t xml:space="preserve">Б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АНТИМОНОПОЛЬНО</w:t>
      </w:r>
      <w:r>
        <w:rPr>
          <w:rFonts w:ascii="Times New Roman" w:hAnsi="Times New Roman" w:cs="Times New Roman"/>
          <w:b/>
          <w:sz w:val="36"/>
          <w:szCs w:val="36"/>
        </w:rPr>
        <w:t xml:space="preserve">М</w:t>
      </w:r>
      <w:r>
        <w:rPr>
          <w:rFonts w:ascii="Times New Roman" w:hAnsi="Times New Roman" w:cs="Times New Roman"/>
          <w:b/>
          <w:sz w:val="36"/>
          <w:szCs w:val="36"/>
        </w:rPr>
        <w:t xml:space="preserve"> КОМПЛАЕНС</w:t>
      </w:r>
      <w:r>
        <w:rPr>
          <w:rFonts w:ascii="Times New Roman" w:hAnsi="Times New Roman" w:cs="Times New Roman"/>
          <w:b/>
          <w:sz w:val="36"/>
          <w:szCs w:val="36"/>
        </w:rPr>
        <w:t xml:space="preserve"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МИНИСТЕРСТВЕ</w:t>
      </w:r>
      <w:r>
        <w:rPr>
          <w:rFonts w:ascii="Times New Roman" w:hAnsi="Times New Roman" w:cs="Times New Roman"/>
          <w:b/>
          <w:sz w:val="36"/>
          <w:szCs w:val="36"/>
        </w:rPr>
        <w:t xml:space="preserve"> КУЛЬТУРЫ  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ЛИПЕЦКОЙ ОБЛАСТИ 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 20</w:t>
      </w:r>
      <w:r>
        <w:rPr>
          <w:rFonts w:ascii="Times New Roman" w:hAnsi="Times New Roman" w:cs="Times New Roman"/>
          <w:b/>
          <w:sz w:val="36"/>
          <w:szCs w:val="36"/>
        </w:rPr>
        <w:t xml:space="preserve">25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ГОД</w:t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both"/>
      </w:pPr>
      <w:r/>
      <w:r/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numPr>
          <w:ilvl w:val="0"/>
          <w:numId w:val="1"/>
        </w:num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18 октября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культуры Липецкой области (далее – 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утверждено Положение об организации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272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 размещен 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sz w:val="28"/>
          <w:szCs w:val="28"/>
        </w:rPr>
        <w:t xml:space="preserve">. Информация о выявлении и оценке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нарушения антимонопольного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со стороны министерства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применения и возможного нарушения норм антимонопольного законодательства в УФАС по Липецкой области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Антимонопольные дела, возбужденные антимонопольным органом, предостережения и предупреждения, выданные антимонопольным органом в </w:t>
      </w:r>
      <w:r>
        <w:rPr>
          <w:rFonts w:ascii="Times New Roman" w:hAnsi="Times New Roman" w:cs="Times New Roman"/>
          <w:sz w:val="28"/>
          <w:szCs w:val="28"/>
        </w:rPr>
        <w:t xml:space="preserve">отношении 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норм антимонопольного законодательства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в судебны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инстанциях не осуществлялось. </w:t>
      </w:r>
      <w:r>
        <w:rPr>
          <w:rFonts w:ascii="Times New Roman" w:hAnsi="Times New Roman" w:cs="Times New Roman"/>
          <w:sz w:val="28"/>
          <w:szCs w:val="28"/>
        </w:rPr>
        <w:t xml:space="preserve">Возбужденные дела в отношении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проекты нормативных правовых актов министерства, в которых выявлены риски нарушения антимонопольного законодательства,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публичных консультаций в рамках системы внутреннего обеспечения соответствия требованиям антимонопольного законодательства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были размещены следующие документы: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постановления Правительства Липецкой области «Об установлении Порядка отнесения изделий, изготавливаемых на территории Липецкой области, к изделиям народных художественных промыслов».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постановления Правительства Липецкой области «О региональном реестре мастеров народных художественных промыслов».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«Об утверждении Порядка предоставления субсидии социально ориентированным некоммерческим организациям на проведение мероприятий, направленных на популяризацию профессионального театрального искусства в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«Об утверждении Порядка предоставления субсидии социально ориентированным некоммерческим организациям на проведение мероприятий, направленных на популяризацию современного искусства художников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«Об утверждении Порядка предоставления субсидии социально ориентированным некоммерческим организациям на реализацию проектов, направленных на популяризацию литературных произведений писателей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«Об утверждении Поряд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ка предоставления субсидии социально ориентированным некоммерческим организациям на проведение культурно-массовых мероприятий (творческие фестивали, выставки, конкурсы, смотры, иные зрелищные мероприятия) на территории сельских поселений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«Об утверждении Поряд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об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истерства культуры Липецкой области «О признании утратившим силу приказа управления культуры и искусства Липецкой области от 7 ноября 2024 года № 318-Н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«Об утверждении Поряд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об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постановления Правительства Липецкой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«О порядке рассмотрения заявки о включении объекта нематериального этнокультурного достояния Российской Федерации на территории Липецкой области в федеральный государственный реестр объектов нематериального этнокультурного достояния Российской Федерации».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Проект приказа министерства культуры Липецкой области «Об утверждении Порядка проведения оценки последствий решения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оценке последствий такого решения и подготовки ею заключений».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по итогам публичных консультаций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оложений, противоречащих антимонопольному законодательству,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Негативного влияния на развитие конкуренции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Информация об исполнении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снижению рисков нарушения антимонопольного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</w:t>
      </w:r>
      <w:r>
        <w:rPr>
          <w:rFonts w:ascii="Times New Roman" w:hAnsi="Times New Roman" w:cs="Times New Roman"/>
          <w:sz w:val="28"/>
          <w:szCs w:val="28"/>
        </w:rPr>
        <w:t xml:space="preserve">риказами министерства утверждены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 (паспорт) комплаенс-рисков на 2025 год (приказ от 31.01.2025 № 33)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ключевых показателей эффективности функционирования антимонопольного комплаенса на 2025 год (приказ от 31.01.2025 № 30)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мероприятий «дорожная карта» по снижению комплаенс-рисков на 2025 год (приказ от 31.01.2025 № 29).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Актуализирован состав коллегиального органа по оценке эффективности организации и функционирования в министерстве антимонопольного комплаенса (приказ от 31 января 2025 года № 32).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осуществления в министерстве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внутреннего обеспечения соответствия требованиям антимонопольного законодательства сотрудники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приняли участие в обучающих мероприятиях: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«Управление государственными и муниципальными закупками» в объеме 120 ак. часов (г. Липецк)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Доля сотрудников, с которыми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 20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были проведены обучающие мероприятия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составила более 10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%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от общего числа сотрудников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8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</w:rPr>
        <w:t xml:space="preserve">. Информация о достижении ключевых показателей эффективности функционирования антимонопольного комплаенса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функционирования антимонопольного комплаенса в министерстве подтверждается отсутствием нарушений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и достижением значения ключевых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Tahoma" w:hAnsi="Tahoma" w:cs="Tahoma"/>
      <w:sz w:val="16"/>
      <w:szCs w:val="16"/>
    </w:rPr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CEB6-25F2-44FD-AB9F-3FE54720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filippovskihoi</cp:lastModifiedBy>
  <cp:revision>81</cp:revision>
  <dcterms:created xsi:type="dcterms:W3CDTF">2019-11-28T07:04:00Z</dcterms:created>
  <dcterms:modified xsi:type="dcterms:W3CDTF">2026-01-23T09:47:30Z</dcterms:modified>
</cp:coreProperties>
</file>